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9A1E" w14:textId="77777777" w:rsidR="00A139C3" w:rsidRPr="007B4902" w:rsidRDefault="00A139C3" w:rsidP="00E509D5">
      <w:pPr>
        <w:pStyle w:val="Nessunaspaziatura"/>
      </w:pPr>
    </w:p>
    <w:p w14:paraId="6DAD6961" w14:textId="77777777" w:rsidR="0007254B" w:rsidRDefault="0007254B" w:rsidP="00A139C3">
      <w:pPr>
        <w:pStyle w:val="Titolo"/>
        <w:rPr>
          <w:rFonts w:ascii="Times New Roman" w:hAnsi="Times New Roman" w:cs="Times New Roman"/>
          <w:sz w:val="24"/>
        </w:rPr>
      </w:pPr>
    </w:p>
    <w:p w14:paraId="30B0B170" w14:textId="77777777" w:rsidR="0007254B" w:rsidRDefault="0007254B" w:rsidP="00A139C3">
      <w:pPr>
        <w:pStyle w:val="Titolo"/>
        <w:rPr>
          <w:rFonts w:ascii="Times New Roman" w:hAnsi="Times New Roman" w:cs="Times New Roman"/>
          <w:sz w:val="24"/>
        </w:rPr>
      </w:pPr>
    </w:p>
    <w:p w14:paraId="0593F1A1" w14:textId="77777777"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 xml:space="preserve">Parere </w:t>
      </w:r>
      <w:r w:rsidR="00F27C90">
        <w:rPr>
          <w:rFonts w:ascii="Times New Roman" w:hAnsi="Times New Roman" w:cs="Times New Roman"/>
          <w:sz w:val="24"/>
        </w:rPr>
        <w:t>riconoscimento debiti fuori bilancio</w:t>
      </w:r>
      <w:r>
        <w:rPr>
          <w:rFonts w:ascii="Times New Roman" w:hAnsi="Times New Roman" w:cs="Times New Roman"/>
          <w:sz w:val="24"/>
        </w:rPr>
        <w:t xml:space="preserve"> 20</w:t>
      </w:r>
      <w:r w:rsidR="005B7D3B">
        <w:rPr>
          <w:rFonts w:ascii="Times New Roman" w:hAnsi="Times New Roman" w:cs="Times New Roman"/>
          <w:sz w:val="24"/>
        </w:rPr>
        <w:t>2</w:t>
      </w:r>
      <w:r w:rsidR="00F239E3">
        <w:rPr>
          <w:rFonts w:ascii="Times New Roman" w:hAnsi="Times New Roman" w:cs="Times New Roman"/>
          <w:sz w:val="24"/>
        </w:rPr>
        <w:t>1</w:t>
      </w:r>
    </w:p>
    <w:p w14:paraId="17A95C19" w14:textId="77777777" w:rsidR="00187DE7" w:rsidRDefault="00187DE7" w:rsidP="00187DE7">
      <w:pPr>
        <w:pStyle w:val="cpv"/>
        <w:widowControl/>
        <w:jc w:val="center"/>
        <w:rPr>
          <w:rFonts w:ascii="Times New Roman" w:hAnsi="Times New Roman" w:cs="Times New Roman"/>
          <w:b/>
          <w:sz w:val="24"/>
          <w:szCs w:val="24"/>
        </w:rPr>
      </w:pPr>
    </w:p>
    <w:p w14:paraId="573EDDCF" w14:textId="77777777" w:rsidR="00187DE7" w:rsidRDefault="00187DE7" w:rsidP="00187DE7">
      <w:pPr>
        <w:pStyle w:val="cpv"/>
        <w:widowControl/>
        <w:jc w:val="center"/>
        <w:rPr>
          <w:rFonts w:ascii="Times New Roman" w:hAnsi="Times New Roman" w:cs="Times New Roman"/>
          <w:b/>
          <w:sz w:val="24"/>
          <w:szCs w:val="24"/>
        </w:rPr>
      </w:pPr>
    </w:p>
    <w:p w14:paraId="21D026EB" w14:textId="77777777"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14:paraId="4971BB3F" w14:textId="77777777" w:rsidR="00A139C3" w:rsidRPr="007B4902" w:rsidRDefault="00A139C3" w:rsidP="00A139C3">
      <w:pPr>
        <w:pStyle w:val="Titolo"/>
        <w:rPr>
          <w:rFonts w:ascii="Times New Roman" w:hAnsi="Times New Roman" w:cs="Times New Roman"/>
          <w:i w:val="0"/>
          <w:sz w:val="24"/>
        </w:rPr>
      </w:pPr>
    </w:p>
    <w:p w14:paraId="2B292A5E" w14:textId="77777777" w:rsidR="005A1ACF" w:rsidRDefault="005A1ACF" w:rsidP="00A139C3">
      <w:pPr>
        <w:pStyle w:val="Titolo"/>
        <w:spacing w:after="0"/>
        <w:rPr>
          <w:rFonts w:ascii="Times New Roman" w:hAnsi="Times New Roman" w:cs="Times New Roman"/>
          <w:i w:val="0"/>
          <w:sz w:val="24"/>
        </w:rPr>
      </w:pPr>
    </w:p>
    <w:p w14:paraId="654B20C1" w14:textId="77777777" w:rsidR="005A1ACF" w:rsidRDefault="005A1ACF" w:rsidP="00A139C3">
      <w:pPr>
        <w:pStyle w:val="Titolo"/>
        <w:spacing w:after="0"/>
        <w:rPr>
          <w:rFonts w:ascii="Times New Roman" w:hAnsi="Times New Roman" w:cs="Times New Roman"/>
          <w:i w:val="0"/>
          <w:sz w:val="24"/>
        </w:rPr>
      </w:pPr>
    </w:p>
    <w:p w14:paraId="0E346655" w14:textId="77777777" w:rsidR="005A1ACF" w:rsidRDefault="005A1ACF" w:rsidP="00A139C3">
      <w:pPr>
        <w:pStyle w:val="Titolo"/>
        <w:spacing w:after="0"/>
        <w:rPr>
          <w:rFonts w:ascii="Times New Roman" w:hAnsi="Times New Roman" w:cs="Times New Roman"/>
          <w:i w:val="0"/>
          <w:sz w:val="24"/>
        </w:rPr>
      </w:pPr>
    </w:p>
    <w:p w14:paraId="0B4672AB" w14:textId="77777777" w:rsidR="005A1ACF" w:rsidRDefault="005A1ACF" w:rsidP="00A139C3">
      <w:pPr>
        <w:pStyle w:val="Titolo"/>
        <w:spacing w:after="0"/>
        <w:rPr>
          <w:rFonts w:ascii="Times New Roman" w:hAnsi="Times New Roman" w:cs="Times New Roman"/>
          <w:i w:val="0"/>
          <w:sz w:val="24"/>
        </w:rPr>
      </w:pPr>
    </w:p>
    <w:p w14:paraId="28A9CEE8" w14:textId="77777777" w:rsidR="005A1ACF" w:rsidRDefault="005A1ACF" w:rsidP="00A139C3">
      <w:pPr>
        <w:pStyle w:val="Titolo"/>
        <w:spacing w:after="0"/>
        <w:rPr>
          <w:rFonts w:ascii="Times New Roman" w:hAnsi="Times New Roman" w:cs="Times New Roman"/>
          <w:i w:val="0"/>
          <w:sz w:val="24"/>
        </w:rPr>
      </w:pPr>
    </w:p>
    <w:p w14:paraId="15736A62" w14:textId="77777777"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14:paraId="07C4EBC0" w14:textId="77777777" w:rsidR="00A139C3" w:rsidRPr="007B4902" w:rsidRDefault="00A139C3" w:rsidP="00A139C3">
      <w:pPr>
        <w:pStyle w:val="Titolo"/>
        <w:spacing w:after="0"/>
        <w:rPr>
          <w:rFonts w:ascii="Times New Roman" w:hAnsi="Times New Roman" w:cs="Times New Roman"/>
          <w:b w:val="0"/>
          <w:sz w:val="24"/>
        </w:rPr>
      </w:pPr>
    </w:p>
    <w:p w14:paraId="2894D66E" w14:textId="77777777"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14:paraId="70F2FDD8" w14:textId="77777777"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14:paraId="3501370A" w14:textId="77777777"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14:paraId="0AA93FF2" w14:textId="77777777" w:rsidR="00A139C3" w:rsidRDefault="00A139C3"/>
    <w:p w14:paraId="1A06DB11" w14:textId="77777777" w:rsidR="00A139C3" w:rsidRDefault="00A139C3"/>
    <w:p w14:paraId="140EDED7" w14:textId="77777777" w:rsidR="00A139C3" w:rsidRDefault="00A139C3"/>
    <w:p w14:paraId="19879268" w14:textId="77777777" w:rsidR="00A139C3" w:rsidRDefault="00A139C3"/>
    <w:p w14:paraId="01087162" w14:textId="77777777" w:rsidR="00A139C3" w:rsidRDefault="00A139C3"/>
    <w:p w14:paraId="3BF268A9" w14:textId="77777777" w:rsidR="00A139C3" w:rsidRDefault="00A139C3"/>
    <w:p w14:paraId="5DA5EDBE" w14:textId="77777777" w:rsidR="00A139C3" w:rsidRDefault="00A139C3"/>
    <w:p w14:paraId="419E68DE" w14:textId="77777777" w:rsidR="00A139C3" w:rsidRDefault="00A139C3"/>
    <w:p w14:paraId="7529D421" w14:textId="77777777" w:rsidR="00A139C3" w:rsidRDefault="00A139C3"/>
    <w:p w14:paraId="60BBDAC4" w14:textId="77777777" w:rsidR="00187DE7" w:rsidRDefault="00187DE7" w:rsidP="00187DE7">
      <w:pPr>
        <w:pStyle w:val="cpv"/>
        <w:widowControl/>
        <w:jc w:val="center"/>
        <w:rPr>
          <w:rFonts w:ascii="Times New Roman" w:hAnsi="Times New Roman" w:cs="Times New Roman"/>
          <w:b/>
          <w:sz w:val="24"/>
          <w:szCs w:val="24"/>
        </w:rPr>
      </w:pPr>
    </w:p>
    <w:p w14:paraId="21C476E2" w14:textId="77777777"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lastRenderedPageBreak/>
        <w:t>L’ORGANO DI REVISIONE</w:t>
      </w:r>
    </w:p>
    <w:p w14:paraId="0911823D" w14:textId="77777777"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w:t>
      </w:r>
      <w:r w:rsidR="004C0388" w:rsidRPr="006903A3">
        <w:rPr>
          <w:rFonts w:ascii="Times New Roman" w:hAnsi="Times New Roman" w:cs="Times New Roman"/>
          <w:b/>
          <w:sz w:val="24"/>
          <w:szCs w:val="24"/>
        </w:rPr>
        <w:t>n.</w:t>
      </w:r>
      <w:r w:rsidR="0085018B">
        <w:rPr>
          <w:rFonts w:ascii="Times New Roman" w:hAnsi="Times New Roman" w:cs="Times New Roman"/>
          <w:b/>
          <w:sz w:val="24"/>
          <w:szCs w:val="24"/>
        </w:rPr>
        <w:t xml:space="preserve"> </w:t>
      </w:r>
      <w:r w:rsidR="00C31B8A">
        <w:rPr>
          <w:rFonts w:ascii="Times New Roman" w:hAnsi="Times New Roman" w:cs="Times New Roman"/>
          <w:b/>
          <w:sz w:val="24"/>
          <w:szCs w:val="24"/>
        </w:rPr>
        <w:t>30</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9A7240">
        <w:rPr>
          <w:rFonts w:ascii="Times New Roman" w:hAnsi="Times New Roman" w:cs="Times New Roman"/>
          <w:b/>
          <w:sz w:val="24"/>
          <w:szCs w:val="24"/>
        </w:rPr>
        <w:t>2</w:t>
      </w:r>
      <w:r w:rsidR="00F239E3">
        <w:rPr>
          <w:rFonts w:ascii="Times New Roman" w:hAnsi="Times New Roman" w:cs="Times New Roman"/>
          <w:b/>
          <w:sz w:val="24"/>
          <w:szCs w:val="24"/>
        </w:rPr>
        <w:t>3</w:t>
      </w:r>
      <w:r w:rsidR="00CE5A98">
        <w:rPr>
          <w:rFonts w:ascii="Times New Roman" w:hAnsi="Times New Roman" w:cs="Times New Roman"/>
          <w:b/>
          <w:sz w:val="24"/>
          <w:szCs w:val="24"/>
        </w:rPr>
        <w:t>/09</w:t>
      </w:r>
      <w:r w:rsidR="00870F59">
        <w:rPr>
          <w:rFonts w:ascii="Times New Roman" w:hAnsi="Times New Roman" w:cs="Times New Roman"/>
          <w:b/>
          <w:sz w:val="24"/>
          <w:szCs w:val="24"/>
        </w:rPr>
        <w:t>/20</w:t>
      </w:r>
      <w:r w:rsidR="005B7D3B">
        <w:rPr>
          <w:rFonts w:ascii="Times New Roman" w:hAnsi="Times New Roman" w:cs="Times New Roman"/>
          <w:b/>
          <w:sz w:val="24"/>
          <w:szCs w:val="24"/>
        </w:rPr>
        <w:t>2</w:t>
      </w:r>
      <w:r w:rsidR="00F239E3">
        <w:rPr>
          <w:rFonts w:ascii="Times New Roman" w:hAnsi="Times New Roman" w:cs="Times New Roman"/>
          <w:b/>
          <w:sz w:val="24"/>
          <w:szCs w:val="24"/>
        </w:rPr>
        <w:t>1</w:t>
      </w:r>
    </w:p>
    <w:p w14:paraId="7FBE123B" w14:textId="77777777" w:rsidR="00C4355D" w:rsidRPr="007B4902" w:rsidRDefault="00C4355D" w:rsidP="00A139C3">
      <w:pPr>
        <w:pStyle w:val="cpv"/>
        <w:widowControl/>
        <w:jc w:val="center"/>
        <w:rPr>
          <w:rFonts w:ascii="Times New Roman" w:hAnsi="Times New Roman" w:cs="Times New Roman"/>
          <w:sz w:val="24"/>
          <w:szCs w:val="24"/>
        </w:rPr>
      </w:pPr>
    </w:p>
    <w:p w14:paraId="39CE6ADA" w14:textId="77777777" w:rsidR="0029298B" w:rsidRPr="007B4902" w:rsidRDefault="0029298B" w:rsidP="0029298B">
      <w:pPr>
        <w:pStyle w:val="Titolo"/>
        <w:rPr>
          <w:rFonts w:ascii="Times New Roman" w:hAnsi="Times New Roman" w:cs="Times New Roman"/>
          <w:b w:val="0"/>
          <w:i w:val="0"/>
          <w:sz w:val="24"/>
        </w:rPr>
      </w:pPr>
      <w:r>
        <w:rPr>
          <w:rFonts w:ascii="Times New Roman" w:hAnsi="Times New Roman" w:cs="Times New Roman"/>
          <w:sz w:val="24"/>
        </w:rPr>
        <w:t>Parere riconoscimento debiti fuori bilancio 20</w:t>
      </w:r>
      <w:r w:rsidR="005B7D3B">
        <w:rPr>
          <w:rFonts w:ascii="Times New Roman" w:hAnsi="Times New Roman" w:cs="Times New Roman"/>
          <w:sz w:val="24"/>
        </w:rPr>
        <w:t>2</w:t>
      </w:r>
      <w:r w:rsidR="00F239E3">
        <w:rPr>
          <w:rFonts w:ascii="Times New Roman" w:hAnsi="Times New Roman" w:cs="Times New Roman"/>
          <w:sz w:val="24"/>
        </w:rPr>
        <w:t>1</w:t>
      </w:r>
    </w:p>
    <w:p w14:paraId="3EE60C21" w14:textId="77777777" w:rsidR="00B70495" w:rsidRDefault="00C4355D" w:rsidP="004C0388">
      <w:pPr>
        <w:jc w:val="both"/>
      </w:pPr>
      <w:r>
        <w:t xml:space="preserve">L’anno </w:t>
      </w:r>
      <w:r w:rsidR="0007254B">
        <w:t>duemila</w:t>
      </w:r>
      <w:r w:rsidR="00BA14BE">
        <w:t>vent</w:t>
      </w:r>
      <w:r w:rsidR="00F239E3">
        <w:t>uno</w:t>
      </w:r>
      <w:r>
        <w:t xml:space="preserve"> il giorno </w:t>
      </w:r>
      <w:r w:rsidR="009A7240">
        <w:t>2</w:t>
      </w:r>
      <w:r w:rsidR="00607ABF">
        <w:t>3</w:t>
      </w:r>
      <w:r>
        <w:t xml:space="preserve"> del mese di</w:t>
      </w:r>
      <w:r w:rsidR="00BF7062">
        <w:t xml:space="preserve"> </w:t>
      </w:r>
      <w:r w:rsidR="00607ABF">
        <w:t>Settembre</w:t>
      </w:r>
      <w:r w:rsidR="00BF7062">
        <w:t xml:space="preserve"> </w:t>
      </w:r>
      <w:r>
        <w:t xml:space="preserve"> alle ore</w:t>
      </w:r>
      <w:r w:rsidR="00797216">
        <w:t xml:space="preserve"> </w:t>
      </w:r>
      <w:r w:rsidR="00607ABF">
        <w:t>17</w:t>
      </w:r>
      <w:r w:rsidR="00797216">
        <w:t>,</w:t>
      </w:r>
      <w:r w:rsidR="00607ABF">
        <w:t>40</w:t>
      </w:r>
      <w:r>
        <w:t xml:space="preserve"> il Collegio dei Revisori nominato dal Consiglio Comunale con propria deliberazione numero 4 del 19 marzo 2019</w:t>
      </w:r>
      <w:r w:rsidR="0007254B">
        <w:t xml:space="preserve">, </w:t>
      </w:r>
      <w:r w:rsidR="009A7240">
        <w:t xml:space="preserve">ha esaminato la </w:t>
      </w:r>
      <w:r w:rsidR="00F670E1">
        <w:t xml:space="preserve">“Proposta di deliberazione di Consiglio Comunale </w:t>
      </w:r>
      <w:r w:rsidR="00561D97">
        <w:t xml:space="preserve">numero 61 </w:t>
      </w:r>
      <w:r w:rsidR="00AC1F02">
        <w:t>del</w:t>
      </w:r>
      <w:r w:rsidR="00561D97">
        <w:t xml:space="preserve"> 10</w:t>
      </w:r>
      <w:r w:rsidR="009D6D02">
        <w:t xml:space="preserve"> </w:t>
      </w:r>
      <w:r w:rsidR="00607ABF">
        <w:t>Settembre</w:t>
      </w:r>
      <w:r w:rsidR="00FD6380">
        <w:t xml:space="preserve"> </w:t>
      </w:r>
      <w:r w:rsidR="009D6D02">
        <w:t xml:space="preserve"> </w:t>
      </w:r>
      <w:r w:rsidR="00F670E1">
        <w:t>20</w:t>
      </w:r>
      <w:r w:rsidR="000A1D4C">
        <w:t>2</w:t>
      </w:r>
      <w:r w:rsidR="00F239E3">
        <w:t>1</w:t>
      </w:r>
      <w:r w:rsidR="00E40114">
        <w:t xml:space="preserve"> </w:t>
      </w:r>
      <w:r w:rsidR="00FD6380">
        <w:t>avente ad oggetto</w:t>
      </w:r>
      <w:r w:rsidR="00E40114">
        <w:t xml:space="preserve"> </w:t>
      </w:r>
      <w:r w:rsidR="00FD6380">
        <w:t>“</w:t>
      </w:r>
      <w:r w:rsidR="00E40114" w:rsidRPr="00E40114">
        <w:rPr>
          <w:rFonts w:ascii="Calibri" w:hAnsi="Calibri"/>
          <w:noProof/>
        </w:rPr>
        <w:t xml:space="preserve">Riconoscimento </w:t>
      </w:r>
      <w:r w:rsidR="00FD6380">
        <w:rPr>
          <w:rFonts w:ascii="Calibri" w:hAnsi="Calibri"/>
          <w:noProof/>
        </w:rPr>
        <w:t xml:space="preserve">legittimità </w:t>
      </w:r>
      <w:r w:rsidR="00E40114" w:rsidRPr="00E40114">
        <w:rPr>
          <w:rFonts w:ascii="Calibri" w:hAnsi="Calibri"/>
          <w:noProof/>
        </w:rPr>
        <w:t xml:space="preserve">debito fuori bilancio </w:t>
      </w:r>
      <w:r w:rsidR="00B70495" w:rsidRPr="00E40114">
        <w:t>”.</w:t>
      </w:r>
    </w:p>
    <w:p w14:paraId="1A6C2D26" w14:textId="77777777" w:rsidR="0007254B" w:rsidRDefault="0007254B" w:rsidP="004C0388">
      <w:pPr>
        <w:jc w:val="both"/>
      </w:pPr>
      <w:r>
        <w:t xml:space="preserve">Il Collegio </w:t>
      </w:r>
    </w:p>
    <w:p w14:paraId="430CD881" w14:textId="77777777" w:rsidR="00A139C3" w:rsidRDefault="00B70495" w:rsidP="004C0388">
      <w:pPr>
        <w:jc w:val="center"/>
        <w:rPr>
          <w:b/>
        </w:rPr>
      </w:pPr>
      <w:r>
        <w:rPr>
          <w:b/>
        </w:rPr>
        <w:t>PREMESSO</w:t>
      </w:r>
    </w:p>
    <w:p w14:paraId="5EDAB490" w14:textId="77777777" w:rsidR="00B62C35" w:rsidRDefault="00B62C35" w:rsidP="005E53CA">
      <w:pPr>
        <w:pStyle w:val="Paragrafoelenco"/>
        <w:numPr>
          <w:ilvl w:val="0"/>
          <w:numId w:val="20"/>
        </w:numPr>
        <w:jc w:val="both"/>
      </w:pPr>
      <w:r>
        <w:t>che l’art. 194 del D.</w:t>
      </w:r>
      <w:r w:rsidR="008D3008">
        <w:t xml:space="preserve"> </w:t>
      </w:r>
      <w:r>
        <w:t>Lgs. numero 267/2000 disciplina l’ambito e le procedure di riconoscibilità dei debiti fuori bilancio cioè delle obbligazioni formatesi secondo un iter non conforme ai principi giuscontabili.</w:t>
      </w:r>
    </w:p>
    <w:p w14:paraId="074DE124" w14:textId="77777777" w:rsidR="00B70495" w:rsidRPr="005E53CA" w:rsidRDefault="005E53CA" w:rsidP="005E53CA">
      <w:pPr>
        <w:jc w:val="center"/>
        <w:rPr>
          <w:b/>
        </w:rPr>
      </w:pPr>
      <w:r w:rsidRPr="005E53CA">
        <w:rPr>
          <w:b/>
        </w:rPr>
        <w:t>PRESO ATTO</w:t>
      </w:r>
    </w:p>
    <w:p w14:paraId="51C2D9F9" w14:textId="77777777" w:rsidR="005E53CA" w:rsidRDefault="005E53CA" w:rsidP="00E57F59">
      <w:pPr>
        <w:pStyle w:val="Paragrafoelenco"/>
        <w:numPr>
          <w:ilvl w:val="0"/>
          <w:numId w:val="21"/>
        </w:numPr>
        <w:jc w:val="both"/>
      </w:pPr>
      <w:r>
        <w:t>che</w:t>
      </w:r>
      <w:r w:rsidR="00AC1F02">
        <w:t xml:space="preserve"> il </w:t>
      </w:r>
      <w:r w:rsidR="00BC6F91">
        <w:t>l’Assessore al Bilancio</w:t>
      </w:r>
      <w:r w:rsidR="00AC1F02">
        <w:t xml:space="preserve"> propone al Consiglio Comunale l’adozione della </w:t>
      </w:r>
      <w:r w:rsidR="00731301">
        <w:t xml:space="preserve">proposta di </w:t>
      </w:r>
      <w:r w:rsidR="00AC1F02">
        <w:t>delibera di seguito rappresentata</w:t>
      </w:r>
      <w:r w:rsidR="00C31B8A">
        <w:t xml:space="preserve"> dalla quale emergono tre fattispecie di debito fuori bilancio</w:t>
      </w:r>
      <w:r w:rsidR="0046338D">
        <w:t>;</w:t>
      </w:r>
    </w:p>
    <w:p w14:paraId="3B3112A1" w14:textId="77777777" w:rsidR="00C31B8A" w:rsidRPr="00C31B8A" w:rsidRDefault="00C31B8A" w:rsidP="00C31B8A">
      <w:pPr>
        <w:jc w:val="both"/>
        <w:rPr>
          <w:b/>
          <w:u w:val="single"/>
        </w:rPr>
      </w:pPr>
      <w:r>
        <w:rPr>
          <w:b/>
          <w:u w:val="single"/>
        </w:rPr>
        <w:t>I</w:t>
      </w:r>
      <w:r w:rsidRPr="00C31B8A">
        <w:rPr>
          <w:b/>
          <w:u w:val="single"/>
        </w:rPr>
        <w:t xml:space="preserve"> </w:t>
      </w:r>
      <w:r w:rsidR="00561D97">
        <w:rPr>
          <w:b/>
          <w:u w:val="single"/>
        </w:rPr>
        <w:t xml:space="preserve">FATTISPECIE </w:t>
      </w:r>
      <w:r w:rsidRPr="00C31B8A">
        <w:rPr>
          <w:b/>
          <w:u w:val="single"/>
        </w:rPr>
        <w:t xml:space="preserve">DEBITO FUORI BILANCIO </w:t>
      </w:r>
    </w:p>
    <w:p w14:paraId="64A476EA" w14:textId="77777777" w:rsidR="00C31B8A" w:rsidRDefault="00C31B8A" w:rsidP="00C31B8A">
      <w:pPr>
        <w:spacing w:after="0" w:line="240" w:lineRule="auto"/>
        <w:ind w:left="360"/>
        <w:jc w:val="center"/>
        <w:rPr>
          <w:rFonts w:cstheme="minorHAnsi"/>
          <w:b/>
        </w:rPr>
      </w:pPr>
    </w:p>
    <w:p w14:paraId="1472D357" w14:textId="77777777" w:rsidR="00C31B8A" w:rsidRPr="003607E1" w:rsidRDefault="00C31B8A" w:rsidP="00C31B8A">
      <w:pPr>
        <w:jc w:val="both"/>
        <w:rPr>
          <w:rFonts w:ascii="Bookman Old Style" w:hAnsi="Bookman Old Style" w:cs="Tahoma"/>
        </w:rPr>
      </w:pPr>
      <w:r w:rsidRPr="003607E1">
        <w:rPr>
          <w:rFonts w:ascii="Bookman Old Style" w:hAnsi="Bookman Old Style" w:cs="Tahoma"/>
          <w:b/>
        </w:rPr>
        <w:t>Premesso che</w:t>
      </w:r>
      <w:r w:rsidRPr="003607E1">
        <w:rPr>
          <w:rFonts w:ascii="Bookman Old Style" w:hAnsi="Bookman Old Style" w:cs="Tahoma"/>
        </w:rPr>
        <w:t>:</w:t>
      </w:r>
    </w:p>
    <w:p w14:paraId="14226C67" w14:textId="77777777" w:rsidR="00C31B8A" w:rsidRPr="00C31B8A" w:rsidRDefault="00C31B8A" w:rsidP="00C31B8A">
      <w:pPr>
        <w:numPr>
          <w:ilvl w:val="0"/>
          <w:numId w:val="38"/>
        </w:numPr>
        <w:spacing w:after="0" w:line="240" w:lineRule="auto"/>
        <w:ind w:left="284" w:hanging="284"/>
        <w:jc w:val="both"/>
        <w:rPr>
          <w:rFonts w:cstheme="minorHAnsi"/>
        </w:rPr>
      </w:pPr>
      <w:r w:rsidRPr="00C31B8A">
        <w:rPr>
          <w:rFonts w:cstheme="minorHAnsi"/>
        </w:rPr>
        <w:t>la Mancosu Gesuino di Mancosu Paolo &amp; c. SNC in persona dei legali rappresentanti, Sigg. Paolo e Alberto Mancosu, in proprio e quale impresa capogruppo dell’A.T.I. costituita tra la medesima impresa e la SA.CO.IM di Mancosu Davide &amp; c. Sas e la Rais Francesco SRL, rappresentati e difesi dall’Avv. Vittorio Dessì e Silvia Obino, ha notificato in data 16.12.2010, prot. n. 38816, un ricorso per decreto ingiuntivo n. 2673 del 01.12.2010, nanti il Tribunale di Cagliari, intimando, in virtù del contratto d’appalto rep. n. 1981 del 06.02.2006 relativo ai lavori di completamento del teatro “Si ‘e Boi” e del contratto d’appalto rep. n. 2116 del 06.02.2007 relativo ai lavori supplementari di completamento del teatro “Si ’e Boi”, il pagamento immediato della somma complessiva di € 100.815,70 oltre gli ulteriori interessi moratori dalla data finale indicata (12.10.2010) al saldo;</w:t>
      </w:r>
    </w:p>
    <w:p w14:paraId="07A55CF3" w14:textId="77777777" w:rsidR="00C31B8A" w:rsidRPr="00C31B8A" w:rsidRDefault="00C31B8A" w:rsidP="00C31B8A">
      <w:pPr>
        <w:numPr>
          <w:ilvl w:val="0"/>
          <w:numId w:val="30"/>
        </w:numPr>
        <w:spacing w:after="0" w:line="240" w:lineRule="auto"/>
        <w:ind w:left="284" w:hanging="284"/>
        <w:jc w:val="both"/>
        <w:rPr>
          <w:rFonts w:cstheme="minorHAnsi"/>
        </w:rPr>
      </w:pPr>
      <w:r w:rsidRPr="00C31B8A">
        <w:rPr>
          <w:rFonts w:cstheme="minorHAnsi"/>
        </w:rPr>
        <w:t>con Decreto Sindacale, prot.  n. 1354 del 19.01.2011 si è ritenuto necessario, a tutela delle ragioni dell’Amministrazione Comunale, di presentare opposizione al decreto ingiuntivo sopra descritto conferendo sulla base di una riconosciuta, specifica esperienza e competenza in materia, all’Avv. Alessandra Zedda,  con studio in Cagliari, Via Cugia n. 5;</w:t>
      </w:r>
    </w:p>
    <w:p w14:paraId="6DEB8C39" w14:textId="77777777" w:rsidR="00C31B8A" w:rsidRPr="00C31B8A" w:rsidRDefault="00C31B8A" w:rsidP="00C31B8A">
      <w:pPr>
        <w:numPr>
          <w:ilvl w:val="0"/>
          <w:numId w:val="30"/>
        </w:numPr>
        <w:spacing w:after="0" w:line="240" w:lineRule="auto"/>
        <w:ind w:left="284" w:hanging="284"/>
        <w:jc w:val="both"/>
        <w:rPr>
          <w:rStyle w:val="fontstyle01"/>
          <w:rFonts w:asciiTheme="minorHAnsi" w:hAnsiTheme="minorHAnsi" w:cstheme="minorHAnsi"/>
        </w:rPr>
      </w:pPr>
      <w:r w:rsidRPr="00C31B8A">
        <w:rPr>
          <w:rFonts w:cstheme="minorHAnsi"/>
        </w:rPr>
        <w:t>con sentenza del Tribunale di Cagliari n. 2747/2019 è stato revocato il</w:t>
      </w:r>
      <w:r w:rsidRPr="00C31B8A">
        <w:rPr>
          <w:rStyle w:val="fontstyle01"/>
          <w:rFonts w:asciiTheme="minorHAnsi" w:hAnsiTheme="minorHAnsi" w:cstheme="minorHAnsi"/>
        </w:rPr>
        <w:t xml:space="preserve"> decreto ingiuntivo n. 2673/2010 del Tribunale di Cagliari e accertato l’insussistenza di ulteriori diritti di credito della Società Mancosu Gesuino di Mancosu Paolo &amp; C. S.n.c. nei confronti del Comune di Selargius e, per l’effetto, ha ritenuto </w:t>
      </w:r>
      <w:r w:rsidRPr="00C31B8A">
        <w:rPr>
          <w:rStyle w:val="fontstyle01"/>
          <w:rFonts w:asciiTheme="minorHAnsi" w:hAnsiTheme="minorHAnsi" w:cstheme="minorHAnsi"/>
        </w:rPr>
        <w:lastRenderedPageBreak/>
        <w:t>assolto il Comune di Selargius da ogni avversa pretesa; le spese di giudizio sono state integralmente compensate tra le parti;</w:t>
      </w:r>
    </w:p>
    <w:p w14:paraId="006F5E86" w14:textId="77777777" w:rsidR="00C31B8A" w:rsidRPr="00C31B8A" w:rsidRDefault="00C31B8A" w:rsidP="00C31B8A">
      <w:pPr>
        <w:jc w:val="both"/>
        <w:rPr>
          <w:rFonts w:cstheme="minorHAnsi"/>
          <w:b/>
          <w:bCs/>
        </w:rPr>
      </w:pPr>
      <w:r w:rsidRPr="00C31B8A">
        <w:rPr>
          <w:rFonts w:cstheme="minorHAnsi"/>
          <w:b/>
          <w:bCs/>
        </w:rPr>
        <w:t>Considerato che:</w:t>
      </w:r>
    </w:p>
    <w:p w14:paraId="4B89D8E0" w14:textId="77777777" w:rsidR="00C31B8A" w:rsidRPr="00C31B8A" w:rsidRDefault="00C31B8A" w:rsidP="00C31B8A">
      <w:pPr>
        <w:numPr>
          <w:ilvl w:val="0"/>
          <w:numId w:val="30"/>
        </w:numPr>
        <w:spacing w:after="0" w:line="240" w:lineRule="auto"/>
        <w:ind w:left="284" w:hanging="284"/>
        <w:jc w:val="both"/>
        <w:rPr>
          <w:rFonts w:cstheme="minorHAnsi"/>
        </w:rPr>
      </w:pPr>
      <w:r w:rsidRPr="00C31B8A">
        <w:rPr>
          <w:rFonts w:cstheme="minorHAnsi"/>
        </w:rPr>
        <w:t>l’Agenzia delle Entrate – Direzione Provinciale di Cagliari - ha notificato il 21.07.2021 una cartella di pagamento n. 2019/001/sc/000002747/0/001, acquisita la protocollo generale dell’Ente al n. 34948 del 27.07.2021, con la quale si chiede il pagamento della somma di € 217,50 per registrazione della sentenza n. 2747/2019 emessa dal Tribunale di Cagliari;</w:t>
      </w:r>
    </w:p>
    <w:p w14:paraId="0251EAF0" w14:textId="77777777" w:rsidR="00C31B8A" w:rsidRPr="00C31B8A" w:rsidRDefault="00C31B8A" w:rsidP="00C31B8A">
      <w:pPr>
        <w:numPr>
          <w:ilvl w:val="0"/>
          <w:numId w:val="30"/>
        </w:numPr>
        <w:spacing w:after="0" w:line="240" w:lineRule="auto"/>
        <w:ind w:left="284" w:hanging="284"/>
        <w:jc w:val="both"/>
        <w:rPr>
          <w:rFonts w:cstheme="minorHAnsi"/>
        </w:rPr>
      </w:pPr>
      <w:r w:rsidRPr="00C31B8A">
        <w:rPr>
          <w:rFonts w:cstheme="minorHAnsi"/>
        </w:rPr>
        <w:t>il pagamento dell’imposta di registrazione della sentenza n. 2747/2019 è a carico, in parti uguali, sia del Comune di Selargius sia della Società Mancosu Gesuino &amp; C. poiché le spese di giudizio sono state integralmente compensate;</w:t>
      </w:r>
    </w:p>
    <w:p w14:paraId="1BAEA4CC" w14:textId="77777777" w:rsidR="00C31B8A" w:rsidRPr="00C31B8A" w:rsidRDefault="00C31B8A" w:rsidP="00C31B8A">
      <w:pPr>
        <w:numPr>
          <w:ilvl w:val="0"/>
          <w:numId w:val="30"/>
        </w:numPr>
        <w:spacing w:after="0" w:line="240" w:lineRule="auto"/>
        <w:ind w:left="284" w:hanging="284"/>
        <w:jc w:val="both"/>
        <w:rPr>
          <w:rFonts w:cstheme="minorHAnsi"/>
        </w:rPr>
      </w:pPr>
      <w:r w:rsidRPr="00C31B8A">
        <w:rPr>
          <w:rFonts w:cstheme="minorHAnsi"/>
        </w:rPr>
        <w:t xml:space="preserve">la </w:t>
      </w:r>
      <w:r w:rsidRPr="00C31B8A">
        <w:rPr>
          <w:rStyle w:val="fontstyle01"/>
          <w:rFonts w:asciiTheme="minorHAnsi" w:hAnsiTheme="minorHAnsi" w:cstheme="minorHAnsi"/>
        </w:rPr>
        <w:t>Società Mancosu Gesuino di Mancosu Paolo &amp; C. S.n.c.</w:t>
      </w:r>
      <w:r w:rsidRPr="00C31B8A">
        <w:rPr>
          <w:rFonts w:cstheme="minorHAnsi"/>
        </w:rPr>
        <w:t xml:space="preserve"> non ha dato alcun riscontro ai numerosi solleciti, per il pagamento dell’imposta di registrazione, inviati dall’Ufficio Affari legali;  </w:t>
      </w:r>
    </w:p>
    <w:p w14:paraId="15F4F504" w14:textId="77777777" w:rsidR="00C31B8A" w:rsidRPr="00C31B8A" w:rsidRDefault="00C31B8A" w:rsidP="00C31B8A">
      <w:pPr>
        <w:numPr>
          <w:ilvl w:val="0"/>
          <w:numId w:val="30"/>
        </w:numPr>
        <w:spacing w:after="0" w:line="240" w:lineRule="auto"/>
        <w:ind w:left="284" w:hanging="284"/>
        <w:jc w:val="both"/>
        <w:rPr>
          <w:rFonts w:cstheme="minorHAnsi"/>
        </w:rPr>
      </w:pPr>
      <w:r w:rsidRPr="00C31B8A">
        <w:rPr>
          <w:rFonts w:cstheme="minorHAnsi"/>
        </w:rPr>
        <w:t>ai sensi dell’art. 57 del DPR 131/86, tutte le parti in causa sono obbligate in solido al pagamento dell’intera imposta;</w:t>
      </w:r>
    </w:p>
    <w:p w14:paraId="716848D5" w14:textId="77777777" w:rsidR="00C31B8A" w:rsidRPr="00C31B8A" w:rsidRDefault="00C31B8A" w:rsidP="00C31B8A">
      <w:pPr>
        <w:jc w:val="both"/>
        <w:rPr>
          <w:rFonts w:cstheme="minorHAnsi"/>
        </w:rPr>
      </w:pPr>
      <w:r w:rsidRPr="00C31B8A">
        <w:rPr>
          <w:rFonts w:cstheme="minorHAnsi"/>
          <w:b/>
        </w:rPr>
        <w:t>Ravvisata</w:t>
      </w:r>
      <w:r w:rsidRPr="00C31B8A">
        <w:rPr>
          <w:rFonts w:cstheme="minorHAnsi"/>
        </w:rPr>
        <w:t xml:space="preserve"> la necessità:</w:t>
      </w:r>
    </w:p>
    <w:p w14:paraId="48BEFDED" w14:textId="77777777" w:rsidR="00C31B8A" w:rsidRPr="00C31B8A" w:rsidRDefault="00C31B8A" w:rsidP="00C31B8A">
      <w:pPr>
        <w:numPr>
          <w:ilvl w:val="0"/>
          <w:numId w:val="39"/>
        </w:numPr>
        <w:spacing w:after="0" w:line="240" w:lineRule="auto"/>
        <w:ind w:left="284" w:hanging="284"/>
        <w:jc w:val="both"/>
        <w:rPr>
          <w:rFonts w:cstheme="minorHAnsi"/>
        </w:rPr>
      </w:pPr>
      <w:r w:rsidRPr="00C31B8A">
        <w:rPr>
          <w:rFonts w:cstheme="minorHAnsi"/>
        </w:rPr>
        <w:t xml:space="preserve">di provvedere al pagamento dell’imposta di registrazione della sentenza n. 2747/2019 a favore dell’Agenzia delle Entrate, al fine di evitare un ulteriore aggravio di spese per l’Amministrazione, dando atto che si recupererà, quanto prima, la somma di € 108,75 a carico della </w:t>
      </w:r>
      <w:r w:rsidRPr="00C31B8A">
        <w:rPr>
          <w:rStyle w:val="fontstyle01"/>
          <w:rFonts w:asciiTheme="minorHAnsi" w:hAnsiTheme="minorHAnsi" w:cstheme="minorHAnsi"/>
        </w:rPr>
        <w:t>Società Mancosu Gesuino di Mancosu Paolo &amp; C. S.n.c</w:t>
      </w:r>
      <w:r w:rsidRPr="00C31B8A">
        <w:rPr>
          <w:rFonts w:cstheme="minorHAnsi"/>
        </w:rPr>
        <w:t>;</w:t>
      </w:r>
    </w:p>
    <w:p w14:paraId="62205253" w14:textId="77777777" w:rsidR="00C31B8A" w:rsidRPr="00C31B8A" w:rsidRDefault="00C31B8A" w:rsidP="00C31B8A">
      <w:pPr>
        <w:numPr>
          <w:ilvl w:val="0"/>
          <w:numId w:val="39"/>
        </w:numPr>
        <w:spacing w:after="0" w:line="240" w:lineRule="auto"/>
        <w:ind w:left="284" w:hanging="284"/>
        <w:jc w:val="both"/>
        <w:rPr>
          <w:rFonts w:cstheme="minorHAnsi"/>
        </w:rPr>
      </w:pPr>
      <w:r w:rsidRPr="00C31B8A">
        <w:rPr>
          <w:rFonts w:cstheme="minorHAnsi"/>
        </w:rPr>
        <w:t xml:space="preserve">di avviare la procedura per il riconoscimento del debito fuori bilancio riconducibile alla fattispecie di cui al 1° comma, lett. a) dell’art. 194 del D.Lgs. 267/2000 (sentenze esecutive) per un importo complessivo di </w:t>
      </w:r>
      <w:r w:rsidRPr="00C31B8A">
        <w:rPr>
          <w:rFonts w:cstheme="minorHAnsi"/>
          <w:b/>
        </w:rPr>
        <w:t>€ 217,50;</w:t>
      </w:r>
    </w:p>
    <w:p w14:paraId="0D032335" w14:textId="77777777" w:rsidR="00C31B8A" w:rsidRDefault="00C31B8A" w:rsidP="00C31B8A">
      <w:pPr>
        <w:spacing w:after="0" w:line="240" w:lineRule="auto"/>
        <w:ind w:left="360"/>
        <w:jc w:val="center"/>
        <w:rPr>
          <w:rFonts w:cstheme="minorHAnsi"/>
          <w:b/>
        </w:rPr>
      </w:pPr>
    </w:p>
    <w:p w14:paraId="4C6A4EB1" w14:textId="77777777" w:rsidR="00C31B8A" w:rsidRDefault="00C31B8A" w:rsidP="00C31B8A">
      <w:pPr>
        <w:spacing w:after="0" w:line="240" w:lineRule="auto"/>
        <w:ind w:left="360"/>
        <w:jc w:val="center"/>
        <w:rPr>
          <w:rFonts w:cstheme="minorHAnsi"/>
          <w:b/>
        </w:rPr>
      </w:pPr>
    </w:p>
    <w:p w14:paraId="2559BD1C" w14:textId="77777777" w:rsidR="00C31B8A" w:rsidRPr="00C31B8A" w:rsidRDefault="00C31B8A" w:rsidP="00C31B8A">
      <w:pPr>
        <w:spacing w:after="0" w:line="240" w:lineRule="auto"/>
        <w:ind w:left="360"/>
        <w:rPr>
          <w:rFonts w:cstheme="minorHAnsi"/>
          <w:b/>
          <w:u w:val="single"/>
        </w:rPr>
      </w:pPr>
      <w:r w:rsidRPr="00C31B8A">
        <w:rPr>
          <w:rFonts w:cstheme="minorHAnsi"/>
          <w:b/>
          <w:u w:val="single"/>
        </w:rPr>
        <w:t>II DEBITO FUORI BILANCIO</w:t>
      </w:r>
    </w:p>
    <w:p w14:paraId="7EB8A8B8" w14:textId="77777777" w:rsidR="00C31B8A" w:rsidRDefault="00C31B8A" w:rsidP="00C31B8A">
      <w:pPr>
        <w:spacing w:after="0" w:line="240" w:lineRule="auto"/>
        <w:ind w:left="360"/>
        <w:jc w:val="center"/>
        <w:rPr>
          <w:rFonts w:cstheme="minorHAnsi"/>
          <w:b/>
        </w:rPr>
      </w:pPr>
    </w:p>
    <w:p w14:paraId="0D2D9AF9" w14:textId="77777777" w:rsidR="000F1FE9" w:rsidRPr="003607E1" w:rsidRDefault="000F1FE9" w:rsidP="000F1FE9">
      <w:pPr>
        <w:jc w:val="both"/>
        <w:rPr>
          <w:rFonts w:ascii="Bookman Old Style" w:hAnsi="Bookman Old Style" w:cs="Tahoma"/>
        </w:rPr>
      </w:pPr>
      <w:r w:rsidRPr="003607E1">
        <w:rPr>
          <w:rFonts w:ascii="Bookman Old Style" w:hAnsi="Bookman Old Style" w:cs="Tahoma"/>
          <w:b/>
        </w:rPr>
        <w:t>Premesso che</w:t>
      </w:r>
      <w:r w:rsidRPr="003607E1">
        <w:rPr>
          <w:rFonts w:ascii="Bookman Old Style" w:hAnsi="Bookman Old Style" w:cs="Tahoma"/>
        </w:rPr>
        <w:t>:</w:t>
      </w:r>
    </w:p>
    <w:p w14:paraId="299F0D50" w14:textId="77777777" w:rsidR="000F1FE9" w:rsidRPr="000F1FE9" w:rsidRDefault="000F1FE9" w:rsidP="000F1FE9">
      <w:pPr>
        <w:numPr>
          <w:ilvl w:val="0"/>
          <w:numId w:val="40"/>
        </w:numPr>
        <w:spacing w:after="0" w:line="240" w:lineRule="auto"/>
        <w:ind w:left="284" w:hanging="284"/>
        <w:jc w:val="both"/>
        <w:rPr>
          <w:rFonts w:cstheme="minorHAnsi"/>
          <w:b/>
        </w:rPr>
      </w:pPr>
      <w:r w:rsidRPr="000F1FE9">
        <w:rPr>
          <w:rFonts w:eastAsia="Calibri" w:cstheme="minorHAnsi"/>
          <w:iCs/>
        </w:rPr>
        <w:t xml:space="preserve">Il Sig. Fabrizio Aru, rappresentato e difeso dall’Avv. Roberto Sorcinelli, ha instaurato un giudizio (R.G. 2392/2020) con ricorso notificato dalla Cancelleria dell’Ufficio del Giudice di Pace di Cagliari in data 20.10.2020 (acquisito al Protocollo Generale dell’Ente in pari data al n. 41712), avente ad oggetto l’impugnazione del verbale di accertamento di violazione n. V/179Z/2020 del 25.06.2020 – Prot. n. 1178/2020 - elevato </w:t>
      </w:r>
      <w:r w:rsidRPr="000F1FE9">
        <w:rPr>
          <w:rFonts w:cstheme="minorHAnsi"/>
        </w:rPr>
        <w:t>dal Corpo di Polizia Locale del</w:t>
      </w:r>
      <w:r w:rsidRPr="000F1FE9">
        <w:rPr>
          <w:rFonts w:cstheme="minorHAnsi"/>
          <w:color w:val="FF0000"/>
        </w:rPr>
        <w:t xml:space="preserve"> </w:t>
      </w:r>
      <w:r w:rsidRPr="000F1FE9">
        <w:rPr>
          <w:rFonts w:cstheme="minorHAnsi"/>
        </w:rPr>
        <w:t>Comune di Selargius e notificato in data 13.07.2020;</w:t>
      </w:r>
    </w:p>
    <w:p w14:paraId="55CE7B25" w14:textId="77777777" w:rsidR="000F1FE9" w:rsidRPr="000F1FE9" w:rsidRDefault="000F1FE9" w:rsidP="000F1FE9">
      <w:pPr>
        <w:numPr>
          <w:ilvl w:val="0"/>
          <w:numId w:val="32"/>
        </w:numPr>
        <w:spacing w:after="0" w:line="240" w:lineRule="auto"/>
        <w:ind w:left="284" w:hanging="284"/>
        <w:jc w:val="both"/>
        <w:rPr>
          <w:rFonts w:cstheme="minorHAnsi"/>
          <w:bCs/>
        </w:rPr>
      </w:pPr>
      <w:r w:rsidRPr="000F1FE9">
        <w:rPr>
          <w:rFonts w:cstheme="minorHAnsi"/>
          <w:bCs/>
        </w:rPr>
        <w:t xml:space="preserve">Con decreto Sindacale prot.  </w:t>
      </w:r>
      <w:r w:rsidRPr="000F1FE9">
        <w:rPr>
          <w:rFonts w:cstheme="minorHAnsi"/>
        </w:rPr>
        <w:t>n. 45406 del 10.11.2020 si è disposta la resistenza nel giudizio di cui trattasi;</w:t>
      </w:r>
    </w:p>
    <w:p w14:paraId="6D572669" w14:textId="77777777" w:rsidR="000F1FE9" w:rsidRPr="000F1FE9" w:rsidRDefault="000F1FE9" w:rsidP="000F1FE9">
      <w:pPr>
        <w:numPr>
          <w:ilvl w:val="0"/>
          <w:numId w:val="32"/>
        </w:numPr>
        <w:spacing w:after="0" w:line="240" w:lineRule="auto"/>
        <w:ind w:left="284" w:hanging="284"/>
        <w:jc w:val="both"/>
        <w:rPr>
          <w:rFonts w:cstheme="minorHAnsi"/>
          <w:bCs/>
        </w:rPr>
      </w:pPr>
      <w:r w:rsidRPr="000F1FE9">
        <w:rPr>
          <w:rFonts w:cstheme="minorHAnsi"/>
        </w:rPr>
        <w:t>con determinazione n. 1245 del 10.11.2020 è stato affidato tutto il contenzioso in materia di violazioni del Codice della Strada all’Avv. ANDREA GANDINO, nella sua qualità di titolare legale rappresentante della Associazione Professionale GANDINO PAIRE STUDIO DI AVVOCATI, il quale ha rappresentato e difeso l’Ente nel giudizio di cui trattasi;</w:t>
      </w:r>
    </w:p>
    <w:p w14:paraId="43698088" w14:textId="77777777" w:rsidR="000F1FE9" w:rsidRPr="000F1FE9" w:rsidRDefault="000F1FE9" w:rsidP="000F1FE9">
      <w:pPr>
        <w:numPr>
          <w:ilvl w:val="0"/>
          <w:numId w:val="32"/>
        </w:numPr>
        <w:spacing w:after="0" w:line="240" w:lineRule="auto"/>
        <w:ind w:left="284" w:hanging="284"/>
        <w:jc w:val="both"/>
        <w:rPr>
          <w:rFonts w:cstheme="minorHAnsi"/>
          <w:color w:val="000000"/>
        </w:rPr>
      </w:pPr>
      <w:r w:rsidRPr="000F1FE9">
        <w:rPr>
          <w:rFonts w:cstheme="minorHAnsi"/>
        </w:rPr>
        <w:t>Con la sentenza n. 300/2021 il Giudice di Pace di Cagliari:</w:t>
      </w:r>
    </w:p>
    <w:p w14:paraId="4174BAF2" w14:textId="77777777" w:rsidR="000F1FE9" w:rsidRPr="000F1FE9" w:rsidRDefault="000F1FE9" w:rsidP="000F1FE9">
      <w:pPr>
        <w:numPr>
          <w:ilvl w:val="0"/>
          <w:numId w:val="41"/>
        </w:numPr>
        <w:spacing w:after="0" w:line="240" w:lineRule="auto"/>
        <w:jc w:val="both"/>
        <w:rPr>
          <w:rFonts w:cstheme="minorHAnsi"/>
          <w:color w:val="000000"/>
        </w:rPr>
      </w:pPr>
      <w:r w:rsidRPr="000F1FE9">
        <w:rPr>
          <w:rFonts w:cstheme="minorHAnsi"/>
        </w:rPr>
        <w:t xml:space="preserve"> ha accolto il ricorso del Sig. Fabrizio Aru avverso il </w:t>
      </w:r>
      <w:r w:rsidRPr="000F1FE9">
        <w:rPr>
          <w:rFonts w:eastAsia="Calibri" w:cstheme="minorHAnsi"/>
          <w:iCs/>
        </w:rPr>
        <w:t xml:space="preserve">verbale di accertamento di violazione n. V/179Z/2020 del 25.06.2020 </w:t>
      </w:r>
      <w:r w:rsidRPr="000F1FE9">
        <w:rPr>
          <w:rFonts w:cstheme="minorHAnsi"/>
        </w:rPr>
        <w:t>e ha annullato il predetto provvedimento;</w:t>
      </w:r>
    </w:p>
    <w:p w14:paraId="3634B214" w14:textId="77777777" w:rsidR="000F1FE9" w:rsidRPr="000F1FE9" w:rsidRDefault="000F1FE9" w:rsidP="000F1FE9">
      <w:pPr>
        <w:numPr>
          <w:ilvl w:val="0"/>
          <w:numId w:val="41"/>
        </w:numPr>
        <w:spacing w:after="0" w:line="240" w:lineRule="auto"/>
        <w:jc w:val="both"/>
        <w:rPr>
          <w:rFonts w:cstheme="minorHAnsi"/>
          <w:color w:val="000000"/>
        </w:rPr>
      </w:pPr>
      <w:r w:rsidRPr="000F1FE9">
        <w:rPr>
          <w:rFonts w:cstheme="minorHAnsi"/>
        </w:rPr>
        <w:lastRenderedPageBreak/>
        <w:t>ha condannato l’Ente al pagamento delle spese di giudizio per un ammontare complessivo pari a € 397,57;</w:t>
      </w:r>
    </w:p>
    <w:p w14:paraId="1EA06CC7" w14:textId="77777777" w:rsidR="000F1FE9" w:rsidRPr="000F1FE9" w:rsidRDefault="000F1FE9" w:rsidP="000F1FE9">
      <w:pPr>
        <w:numPr>
          <w:ilvl w:val="0"/>
          <w:numId w:val="42"/>
        </w:numPr>
        <w:spacing w:after="0" w:line="240" w:lineRule="auto"/>
        <w:ind w:left="284" w:hanging="284"/>
        <w:jc w:val="both"/>
        <w:rPr>
          <w:rStyle w:val="fontstyle01"/>
          <w:rFonts w:asciiTheme="minorHAnsi" w:hAnsiTheme="minorHAnsi" w:cstheme="minorHAnsi"/>
        </w:rPr>
      </w:pPr>
      <w:r w:rsidRPr="000F1FE9">
        <w:rPr>
          <w:rStyle w:val="fontstyle01"/>
          <w:rFonts w:asciiTheme="minorHAnsi" w:hAnsiTheme="minorHAnsi" w:cstheme="minorHAnsi"/>
        </w:rPr>
        <w:t>la sentenza n. 300/2021, munita di formula ai fini esecutivi, è stata notificata dal Sig. Fabrizio Aru il 10.06.2021 (prot. n. 27093);</w:t>
      </w:r>
    </w:p>
    <w:p w14:paraId="0B79DB06" w14:textId="77777777" w:rsidR="000F1FE9" w:rsidRPr="000F1FE9" w:rsidRDefault="000F1FE9" w:rsidP="000F1FE9">
      <w:pPr>
        <w:numPr>
          <w:ilvl w:val="0"/>
          <w:numId w:val="42"/>
        </w:numPr>
        <w:spacing w:after="0" w:line="240" w:lineRule="auto"/>
        <w:ind w:left="284" w:hanging="284"/>
        <w:jc w:val="both"/>
        <w:rPr>
          <w:rFonts w:cstheme="minorHAnsi"/>
        </w:rPr>
      </w:pPr>
      <w:r w:rsidRPr="000F1FE9">
        <w:rPr>
          <w:rFonts w:cstheme="minorHAnsi"/>
        </w:rPr>
        <w:t>L’art. 14 del DL n. 669/1996 attribuisce alla P.A. 120 giorni di tempo dalla notifica del titolo esecutivo per adempiere a quanto previsto da sentenze e lodi arbitrali, ovvero provvedere al pagamento della somma stabilita dal Giudice;</w:t>
      </w:r>
    </w:p>
    <w:p w14:paraId="5CD428A7" w14:textId="77777777" w:rsidR="000F1FE9" w:rsidRPr="000F1FE9" w:rsidRDefault="000F1FE9" w:rsidP="000F1FE9">
      <w:pPr>
        <w:numPr>
          <w:ilvl w:val="0"/>
          <w:numId w:val="42"/>
        </w:numPr>
        <w:spacing w:after="0" w:line="240" w:lineRule="auto"/>
        <w:ind w:left="284" w:hanging="284"/>
        <w:jc w:val="both"/>
        <w:rPr>
          <w:rFonts w:cstheme="minorHAnsi"/>
        </w:rPr>
      </w:pPr>
      <w:r w:rsidRPr="000F1FE9">
        <w:rPr>
          <w:rFonts w:cstheme="minorHAnsi"/>
        </w:rPr>
        <w:t>Il termine dei 120 giorni dalla notifica della sentenza n. 300/2021 scade il 08.10.2021;</w:t>
      </w:r>
    </w:p>
    <w:p w14:paraId="522886B4" w14:textId="77777777" w:rsidR="000F1FE9" w:rsidRPr="000F1FE9" w:rsidRDefault="000F1FE9" w:rsidP="000F1FE9">
      <w:pPr>
        <w:numPr>
          <w:ilvl w:val="0"/>
          <w:numId w:val="42"/>
        </w:numPr>
        <w:spacing w:after="0" w:line="240" w:lineRule="auto"/>
        <w:ind w:left="284" w:hanging="284"/>
        <w:jc w:val="both"/>
        <w:rPr>
          <w:rFonts w:cstheme="minorHAnsi"/>
        </w:rPr>
      </w:pPr>
      <w:r w:rsidRPr="000F1FE9">
        <w:rPr>
          <w:rFonts w:cstheme="minorHAnsi"/>
        </w:rPr>
        <w:t>E’ necessario avviare la procedura per il riconoscimento dei debiti fuori bilancio riconducibile alla fattispecie di cui al 1° comma, lett. a) dell’art. 194 del D.Lgs. 267/2000 (sentenze esecutive) per un importo complessivo di €</w:t>
      </w:r>
      <w:r w:rsidRPr="000F1FE9">
        <w:rPr>
          <w:rFonts w:cstheme="minorHAnsi"/>
          <w:b/>
        </w:rPr>
        <w:t xml:space="preserve"> 397,57;</w:t>
      </w:r>
    </w:p>
    <w:p w14:paraId="77C480C7" w14:textId="77777777" w:rsidR="00C31B8A" w:rsidRPr="000F1FE9" w:rsidRDefault="00C31B8A" w:rsidP="00C31B8A">
      <w:pPr>
        <w:spacing w:after="0" w:line="240" w:lineRule="auto"/>
        <w:ind w:left="360"/>
        <w:jc w:val="center"/>
        <w:rPr>
          <w:rFonts w:cstheme="minorHAnsi"/>
          <w:b/>
        </w:rPr>
      </w:pPr>
    </w:p>
    <w:p w14:paraId="488D46E2" w14:textId="77777777" w:rsidR="00C31B8A" w:rsidRPr="000F1FE9" w:rsidRDefault="00C31B8A" w:rsidP="00C31B8A">
      <w:pPr>
        <w:spacing w:after="0" w:line="240" w:lineRule="auto"/>
        <w:ind w:left="360"/>
        <w:jc w:val="center"/>
        <w:rPr>
          <w:rFonts w:cstheme="minorHAnsi"/>
          <w:b/>
        </w:rPr>
      </w:pPr>
    </w:p>
    <w:p w14:paraId="6EE517DA" w14:textId="77777777" w:rsidR="000F1FE9" w:rsidRPr="000F1FE9" w:rsidRDefault="000F1FE9" w:rsidP="000F1FE9">
      <w:pPr>
        <w:ind w:left="360"/>
        <w:jc w:val="both"/>
        <w:rPr>
          <w:rFonts w:cstheme="minorHAnsi"/>
          <w:b/>
          <w:bCs/>
          <w:u w:val="single"/>
        </w:rPr>
      </w:pPr>
      <w:r w:rsidRPr="000F1FE9">
        <w:rPr>
          <w:rFonts w:cstheme="minorHAnsi"/>
          <w:b/>
          <w:bCs/>
          <w:u w:val="single"/>
        </w:rPr>
        <w:t>III DEBITO FUORI BILANCIO:</w:t>
      </w:r>
    </w:p>
    <w:p w14:paraId="65D0F889" w14:textId="77777777" w:rsidR="000F1FE9" w:rsidRPr="000F1FE9" w:rsidRDefault="000F1FE9" w:rsidP="000F1FE9">
      <w:pPr>
        <w:jc w:val="both"/>
        <w:rPr>
          <w:rFonts w:cstheme="minorHAnsi"/>
          <w:b/>
          <w:bCs/>
        </w:rPr>
      </w:pPr>
      <w:r w:rsidRPr="000F1FE9">
        <w:rPr>
          <w:rFonts w:cstheme="minorHAnsi"/>
          <w:b/>
          <w:bCs/>
        </w:rPr>
        <w:t>Premesso che:</w:t>
      </w:r>
    </w:p>
    <w:p w14:paraId="1CDB80CE" w14:textId="77777777" w:rsidR="000F1FE9" w:rsidRPr="000F1FE9" w:rsidRDefault="000F1FE9" w:rsidP="000F1FE9">
      <w:pPr>
        <w:numPr>
          <w:ilvl w:val="0"/>
          <w:numId w:val="43"/>
        </w:numPr>
        <w:tabs>
          <w:tab w:val="left" w:pos="284"/>
        </w:tabs>
        <w:spacing w:after="0" w:line="240" w:lineRule="auto"/>
        <w:ind w:left="284" w:hanging="284"/>
        <w:jc w:val="both"/>
        <w:rPr>
          <w:rFonts w:cstheme="minorHAnsi"/>
        </w:rPr>
      </w:pPr>
      <w:r w:rsidRPr="000F1FE9">
        <w:rPr>
          <w:rFonts w:cstheme="minorHAnsi"/>
        </w:rPr>
        <w:t>la Sig.ra Locci Bonaria ha notificato all’Amministrazione Comunale un atto di citazione  dinanzi  il Tribunale Civile di Cagliari (prot. n. 23607 del 30.08.2011) chiedendo, tramite l’Avv. Gianfranco Macciotta e Avv. Giulia Torchiani, il risarcimento dei danni che dichiara di aver subito nell’immobile di sua proprietà sito in Monserrato, nella Via Cassiodoro n. 10-12, angolo Via Marconi in Selargius, a seguito di infiltrazioni provenienti da uno degli impianti di smaltimento delle acque comunali accertate nella relazione della CTU depositata nel procedimento di Accertamento Tecnico Preventivo del 2010 di cui sopra;</w:t>
      </w:r>
    </w:p>
    <w:p w14:paraId="2BE91AEE" w14:textId="77777777" w:rsidR="000F1FE9" w:rsidRPr="000F1FE9" w:rsidRDefault="000F1FE9" w:rsidP="000F1FE9">
      <w:pPr>
        <w:pStyle w:val="Default"/>
        <w:numPr>
          <w:ilvl w:val="0"/>
          <w:numId w:val="43"/>
        </w:numPr>
        <w:ind w:left="284" w:hanging="284"/>
        <w:jc w:val="both"/>
        <w:rPr>
          <w:rFonts w:asciiTheme="minorHAnsi" w:hAnsiTheme="minorHAnsi" w:cstheme="minorHAnsi"/>
          <w:sz w:val="20"/>
          <w:szCs w:val="20"/>
        </w:rPr>
      </w:pPr>
      <w:r w:rsidRPr="000F1FE9">
        <w:rPr>
          <w:rFonts w:asciiTheme="minorHAnsi" w:hAnsiTheme="minorHAnsi" w:cstheme="minorHAnsi"/>
          <w:sz w:val="20"/>
          <w:szCs w:val="20"/>
        </w:rPr>
        <w:t>con decreto sindacale prot.  n. 27524 del 10.09.2012  è stato disposto di resistere, nanti il Tribunale Civile di Cagliari nel giudizio instaurato dalla Sig.ra Locci Bonaria su  descritto ;</w:t>
      </w:r>
    </w:p>
    <w:p w14:paraId="28BAE9DD" w14:textId="77777777" w:rsidR="000F1FE9" w:rsidRPr="000F1FE9" w:rsidRDefault="000F1FE9" w:rsidP="000F1FE9">
      <w:pPr>
        <w:pStyle w:val="xmsonormal"/>
        <w:numPr>
          <w:ilvl w:val="0"/>
          <w:numId w:val="43"/>
        </w:numPr>
        <w:ind w:left="284" w:hanging="284"/>
        <w:jc w:val="both"/>
        <w:rPr>
          <w:rFonts w:asciiTheme="minorHAnsi" w:hAnsiTheme="minorHAnsi" w:cstheme="minorHAnsi"/>
          <w:b/>
          <w:bCs/>
          <w:sz w:val="20"/>
          <w:szCs w:val="20"/>
        </w:rPr>
      </w:pPr>
      <w:r w:rsidRPr="000F1FE9">
        <w:rPr>
          <w:rFonts w:asciiTheme="minorHAnsi" w:hAnsiTheme="minorHAnsi" w:cstheme="minorHAnsi"/>
          <w:sz w:val="20"/>
          <w:szCs w:val="20"/>
        </w:rPr>
        <w:t>con determinazione n. 992/2012 è stato conferito mandato all’Avv. Marco Tomba di difendere l’Amministrazione nel giudizio di cui sopra;</w:t>
      </w:r>
    </w:p>
    <w:p w14:paraId="25AA8F1D" w14:textId="77777777" w:rsidR="000F1FE9" w:rsidRPr="000F1FE9" w:rsidRDefault="000F1FE9" w:rsidP="000F1FE9">
      <w:pPr>
        <w:numPr>
          <w:ilvl w:val="0"/>
          <w:numId w:val="43"/>
        </w:numPr>
        <w:spacing w:after="0" w:line="240" w:lineRule="auto"/>
        <w:ind w:left="284" w:hanging="284"/>
        <w:jc w:val="both"/>
        <w:rPr>
          <w:rFonts w:cstheme="minorHAnsi"/>
          <w:bCs/>
          <w:color w:val="000000"/>
        </w:rPr>
      </w:pPr>
      <w:r w:rsidRPr="000F1FE9">
        <w:rPr>
          <w:rFonts w:cstheme="minorHAnsi"/>
        </w:rPr>
        <w:t xml:space="preserve">con la sentenza n. 2793 del 04.12.2019 </w:t>
      </w:r>
      <w:r w:rsidRPr="000F1FE9">
        <w:rPr>
          <w:rFonts w:cstheme="minorHAnsi"/>
          <w:bCs/>
          <w:color w:val="000000"/>
        </w:rPr>
        <w:t>il Giudice del Tribunale ha statuito:</w:t>
      </w:r>
    </w:p>
    <w:p w14:paraId="1B411E7C" w14:textId="77777777" w:rsidR="000F1FE9" w:rsidRPr="000F1FE9" w:rsidRDefault="000F1FE9" w:rsidP="000F1FE9">
      <w:pPr>
        <w:numPr>
          <w:ilvl w:val="0"/>
          <w:numId w:val="44"/>
        </w:numPr>
        <w:spacing w:after="0" w:line="240" w:lineRule="auto"/>
        <w:jc w:val="both"/>
        <w:rPr>
          <w:rFonts w:cstheme="minorHAnsi"/>
          <w:bCs/>
          <w:color w:val="000000"/>
        </w:rPr>
      </w:pPr>
      <w:r w:rsidRPr="000F1FE9">
        <w:rPr>
          <w:rFonts w:cstheme="minorHAnsi"/>
          <w:bCs/>
          <w:color w:val="000000"/>
        </w:rPr>
        <w:t>la responsabilità concorsuale dei due Comuni di Selargius e Monserrato nella determinazione degli allagamenti e dei danni derivatine alla Locci Bonaria;</w:t>
      </w:r>
    </w:p>
    <w:p w14:paraId="2C3B3172" w14:textId="77777777" w:rsidR="000F1FE9" w:rsidRPr="000F1FE9" w:rsidRDefault="000F1FE9" w:rsidP="000F1FE9">
      <w:pPr>
        <w:numPr>
          <w:ilvl w:val="0"/>
          <w:numId w:val="44"/>
        </w:numPr>
        <w:spacing w:after="0" w:line="240" w:lineRule="auto"/>
        <w:jc w:val="both"/>
        <w:rPr>
          <w:rFonts w:cstheme="minorHAnsi"/>
          <w:bCs/>
          <w:color w:val="000000"/>
        </w:rPr>
      </w:pPr>
      <w:r w:rsidRPr="000F1FE9">
        <w:rPr>
          <w:rFonts w:cstheme="minorHAnsi"/>
          <w:bCs/>
          <w:color w:val="000000"/>
        </w:rPr>
        <w:t>la condanna dei due Comuni in solido a pagare alla predetta i danni e le spese legali e di causa nella misura ivi indicata;</w:t>
      </w:r>
    </w:p>
    <w:p w14:paraId="75E4B74E" w14:textId="77777777" w:rsidR="000F1FE9" w:rsidRPr="000F1FE9" w:rsidRDefault="000F1FE9" w:rsidP="000F1FE9">
      <w:pPr>
        <w:numPr>
          <w:ilvl w:val="0"/>
          <w:numId w:val="44"/>
        </w:numPr>
        <w:tabs>
          <w:tab w:val="left" w:pos="284"/>
        </w:tabs>
        <w:spacing w:after="0" w:line="240" w:lineRule="auto"/>
        <w:jc w:val="both"/>
        <w:rPr>
          <w:rFonts w:cstheme="minorHAnsi"/>
          <w:bCs/>
          <w:color w:val="000000"/>
        </w:rPr>
      </w:pPr>
      <w:r w:rsidRPr="000F1FE9">
        <w:rPr>
          <w:rFonts w:cstheme="minorHAnsi"/>
          <w:bCs/>
          <w:color w:val="000000"/>
        </w:rPr>
        <w:t>la separazione della domanda della Locci relativa alla condanna dei Comuni ad eseguire i lavori necessari ad evitare in futuro altri allagamenti, per la quale domanda la causa prosegue con prossima udienza al 05.03.pv per deduzioni delle parti sull'istruttoria da espletare;</w:t>
      </w:r>
    </w:p>
    <w:p w14:paraId="625923D2" w14:textId="77777777" w:rsidR="000F1FE9" w:rsidRPr="000F1FE9" w:rsidRDefault="000F1FE9" w:rsidP="000F1FE9">
      <w:pPr>
        <w:jc w:val="both"/>
        <w:rPr>
          <w:rFonts w:cstheme="minorHAnsi"/>
          <w:b/>
          <w:bCs/>
        </w:rPr>
      </w:pPr>
      <w:r w:rsidRPr="000F1FE9">
        <w:rPr>
          <w:rFonts w:cstheme="minorHAnsi"/>
          <w:b/>
          <w:bCs/>
        </w:rPr>
        <w:t>Considerato che:</w:t>
      </w:r>
    </w:p>
    <w:p w14:paraId="10C00C21" w14:textId="77777777" w:rsidR="000F1FE9" w:rsidRPr="000F1FE9" w:rsidRDefault="000F1FE9" w:rsidP="000F1FE9">
      <w:pPr>
        <w:numPr>
          <w:ilvl w:val="0"/>
          <w:numId w:val="30"/>
        </w:numPr>
        <w:spacing w:after="0" w:line="240" w:lineRule="auto"/>
        <w:ind w:left="284" w:hanging="284"/>
        <w:jc w:val="both"/>
        <w:rPr>
          <w:rFonts w:cstheme="minorHAnsi"/>
        </w:rPr>
      </w:pPr>
      <w:r w:rsidRPr="000F1FE9">
        <w:rPr>
          <w:rFonts w:cstheme="minorHAnsi"/>
        </w:rPr>
        <w:t>l’Agenzia delle Entrate – Direzione Provinciale di Cagliari - ha notificato il 21.07.2021 una cartella di pagamento n. 2019/001/sc/000002793/0/004, acquisita la protocollo generale dell’Ente al n. 34949 del 27.07.2021, con la quale si chiede il pagamento della somma di € 632,25 per registrazione della sentenza n. 2793/2019 emessa dal Tribunale di Cagliari;</w:t>
      </w:r>
    </w:p>
    <w:p w14:paraId="329E037D" w14:textId="77777777" w:rsidR="000F1FE9" w:rsidRPr="000F1FE9" w:rsidRDefault="000F1FE9" w:rsidP="000F1FE9">
      <w:pPr>
        <w:numPr>
          <w:ilvl w:val="0"/>
          <w:numId w:val="30"/>
        </w:numPr>
        <w:spacing w:after="0" w:line="240" w:lineRule="auto"/>
        <w:ind w:left="284" w:hanging="284"/>
        <w:jc w:val="both"/>
        <w:rPr>
          <w:rFonts w:cstheme="minorHAnsi"/>
        </w:rPr>
      </w:pPr>
      <w:r w:rsidRPr="000F1FE9">
        <w:rPr>
          <w:rFonts w:cstheme="minorHAnsi"/>
        </w:rPr>
        <w:t>il pagamento dell’imposta di registrazione della sentenza n. 2793/2019 è a carico, in parti uguali, sia del Comune di Selargius sia del Comune di Monserrato;</w:t>
      </w:r>
    </w:p>
    <w:p w14:paraId="72F8A068" w14:textId="77777777" w:rsidR="000F1FE9" w:rsidRPr="000F1FE9" w:rsidRDefault="000F1FE9" w:rsidP="000F1FE9">
      <w:pPr>
        <w:numPr>
          <w:ilvl w:val="0"/>
          <w:numId w:val="30"/>
        </w:numPr>
        <w:spacing w:after="0" w:line="240" w:lineRule="auto"/>
        <w:ind w:left="284" w:hanging="284"/>
        <w:jc w:val="both"/>
        <w:rPr>
          <w:rFonts w:cstheme="minorHAnsi"/>
        </w:rPr>
      </w:pPr>
      <w:r w:rsidRPr="000F1FE9">
        <w:rPr>
          <w:rFonts w:cstheme="minorHAnsi"/>
        </w:rPr>
        <w:t>ai sensi dell’art. 57 del DPR 131/86, tutte le parti in causa sono obbligate in solido al pagamento dell’intera imposta;</w:t>
      </w:r>
    </w:p>
    <w:p w14:paraId="472EB95B" w14:textId="77777777" w:rsidR="000F1FE9" w:rsidRPr="000F1FE9" w:rsidRDefault="000F1FE9" w:rsidP="000F1FE9">
      <w:pPr>
        <w:numPr>
          <w:ilvl w:val="0"/>
          <w:numId w:val="39"/>
        </w:numPr>
        <w:spacing w:after="0" w:line="240" w:lineRule="auto"/>
        <w:ind w:left="284" w:hanging="284"/>
        <w:jc w:val="both"/>
        <w:rPr>
          <w:rFonts w:cstheme="minorHAnsi"/>
        </w:rPr>
      </w:pPr>
      <w:r w:rsidRPr="000F1FE9">
        <w:rPr>
          <w:rFonts w:cstheme="minorHAnsi"/>
        </w:rPr>
        <w:lastRenderedPageBreak/>
        <w:t>il Comune di Monserrato ha provveduto al pagamento dell’intera imposta pari a € 632,25 riservandosi di recuperare la somma di € 316,12 a carico del Comune di Selargius;</w:t>
      </w:r>
    </w:p>
    <w:p w14:paraId="6689B066" w14:textId="77777777" w:rsidR="000F1FE9" w:rsidRPr="000F1FE9" w:rsidRDefault="000F1FE9" w:rsidP="000F1FE9">
      <w:pPr>
        <w:numPr>
          <w:ilvl w:val="0"/>
          <w:numId w:val="39"/>
        </w:numPr>
        <w:spacing w:after="0" w:line="240" w:lineRule="auto"/>
        <w:ind w:left="284" w:hanging="284"/>
        <w:jc w:val="both"/>
        <w:rPr>
          <w:rFonts w:cstheme="minorHAnsi"/>
        </w:rPr>
      </w:pPr>
      <w:r w:rsidRPr="000F1FE9">
        <w:rPr>
          <w:rFonts w:cstheme="minorHAnsi"/>
        </w:rPr>
        <w:t xml:space="preserve">è necessario avviare la procedura per il riconoscimento del debito fuori bilancio riconducibile alla fattispecie di cui al 1° comma, lett. a) dell’art. 194 del D.Lgs. 267/2000 (sentenze esecutive) per un importo complessivo di </w:t>
      </w:r>
      <w:r w:rsidRPr="000F1FE9">
        <w:rPr>
          <w:rFonts w:cstheme="minorHAnsi"/>
          <w:b/>
        </w:rPr>
        <w:t>€ 316,12;</w:t>
      </w:r>
    </w:p>
    <w:p w14:paraId="4B4118D0" w14:textId="77777777" w:rsidR="000F1FE9" w:rsidRPr="000F1FE9" w:rsidRDefault="000F1FE9" w:rsidP="000F1FE9">
      <w:pPr>
        <w:pStyle w:val="xmsonormal"/>
        <w:ind w:left="284"/>
        <w:jc w:val="both"/>
        <w:rPr>
          <w:rFonts w:asciiTheme="minorHAnsi" w:hAnsiTheme="minorHAnsi" w:cstheme="minorHAnsi"/>
          <w:b/>
          <w:bCs/>
          <w:sz w:val="20"/>
          <w:szCs w:val="20"/>
        </w:rPr>
      </w:pPr>
    </w:p>
    <w:p w14:paraId="1B61C2A6" w14:textId="77777777" w:rsidR="00607ABF" w:rsidRDefault="00607ABF" w:rsidP="000F1FE9">
      <w:pPr>
        <w:spacing w:after="0" w:line="240" w:lineRule="auto"/>
        <w:ind w:left="720"/>
        <w:jc w:val="both"/>
        <w:rPr>
          <w:rFonts w:cstheme="minorHAnsi"/>
          <w:bCs/>
        </w:rPr>
      </w:pPr>
    </w:p>
    <w:p w14:paraId="1075210A" w14:textId="77777777" w:rsidR="007F5016" w:rsidRDefault="007F5016" w:rsidP="00495F8E">
      <w:pPr>
        <w:jc w:val="center"/>
        <w:rPr>
          <w:b/>
        </w:rPr>
      </w:pPr>
    </w:p>
    <w:p w14:paraId="78814217" w14:textId="77777777" w:rsidR="00495F8E" w:rsidRDefault="00E20D66" w:rsidP="00495F8E">
      <w:pPr>
        <w:jc w:val="center"/>
        <w:rPr>
          <w:b/>
        </w:rPr>
      </w:pPr>
      <w:r>
        <w:rPr>
          <w:b/>
        </w:rPr>
        <w:t>RAVVISA</w:t>
      </w:r>
    </w:p>
    <w:p w14:paraId="11D154CF" w14:textId="77777777" w:rsidR="00495F8E" w:rsidRPr="00495F8E" w:rsidRDefault="00336E59" w:rsidP="003041F0">
      <w:pPr>
        <w:rPr>
          <w:rFonts w:cstheme="minorHAnsi"/>
        </w:rPr>
      </w:pPr>
      <w:r>
        <w:rPr>
          <w:rFonts w:cstheme="minorHAnsi"/>
        </w:rPr>
        <w:t>la necessità di</w:t>
      </w:r>
      <w:r w:rsidRPr="00C4598E">
        <w:rPr>
          <w:rFonts w:cstheme="minorHAnsi"/>
        </w:rPr>
        <w:t xml:space="preserve"> avviare la procedura per il riconoscimento dei debiti fu</w:t>
      </w:r>
      <w:r w:rsidR="002544EF">
        <w:rPr>
          <w:rFonts w:cstheme="minorHAnsi"/>
        </w:rPr>
        <w:t>ori bilancio</w:t>
      </w:r>
      <w:r w:rsidR="000F1FE9">
        <w:rPr>
          <w:rFonts w:cstheme="minorHAnsi"/>
        </w:rPr>
        <w:t xml:space="preserve"> per complessivi euro </w:t>
      </w:r>
      <w:r w:rsidR="000F1FE9" w:rsidRPr="000F1FE9">
        <w:rPr>
          <w:rFonts w:cstheme="minorHAnsi"/>
          <w:b/>
        </w:rPr>
        <w:t>931,19</w:t>
      </w:r>
      <w:r w:rsidR="002544EF">
        <w:rPr>
          <w:rFonts w:cstheme="minorHAnsi"/>
        </w:rPr>
        <w:t xml:space="preserve"> </w:t>
      </w:r>
      <w:r w:rsidR="000F1FE9">
        <w:rPr>
          <w:rFonts w:cstheme="minorHAnsi"/>
        </w:rPr>
        <w:t xml:space="preserve"> e come sopra dettagliati </w:t>
      </w:r>
      <w:r w:rsidR="002544EF">
        <w:rPr>
          <w:rFonts w:cstheme="minorHAnsi"/>
        </w:rPr>
        <w:t xml:space="preserve">riconducibile ala </w:t>
      </w:r>
      <w:r w:rsidRPr="00C4598E">
        <w:rPr>
          <w:rFonts w:cstheme="minorHAnsi"/>
        </w:rPr>
        <w:t>fattisp</w:t>
      </w:r>
      <w:r w:rsidR="00BA3BD4">
        <w:rPr>
          <w:rFonts w:cstheme="minorHAnsi"/>
        </w:rPr>
        <w:t xml:space="preserve">ecie di cui al 1° comma, lett. </w:t>
      </w:r>
      <w:r w:rsidR="002544EF">
        <w:rPr>
          <w:rFonts w:cstheme="minorHAnsi"/>
        </w:rPr>
        <w:t>a</w:t>
      </w:r>
      <w:r w:rsidRPr="00C4598E">
        <w:rPr>
          <w:rFonts w:cstheme="minorHAnsi"/>
        </w:rPr>
        <w:t>) dell’art. 194 del D.Lgs. 267/2000</w:t>
      </w:r>
      <w:r w:rsidR="002544EF">
        <w:rPr>
          <w:rFonts w:cstheme="minorHAnsi"/>
        </w:rPr>
        <w:t xml:space="preserve"> (sentenze esecutive)</w:t>
      </w:r>
      <w:r w:rsidR="00495F8E" w:rsidRPr="00495F8E">
        <w:rPr>
          <w:rFonts w:cstheme="minorHAnsi"/>
        </w:rPr>
        <w:t>;</w:t>
      </w:r>
    </w:p>
    <w:p w14:paraId="26AF44C5" w14:textId="77777777"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14:paraId="2CEDFC8E" w14:textId="77777777" w:rsidR="007F5016" w:rsidRDefault="007F5016" w:rsidP="008E4265">
      <w:pPr>
        <w:pStyle w:val="Standard"/>
        <w:autoSpaceDE w:val="0"/>
        <w:jc w:val="center"/>
        <w:rPr>
          <w:rFonts w:asciiTheme="minorHAnsi" w:eastAsiaTheme="minorHAnsi" w:hAnsiTheme="minorHAnsi" w:cstheme="minorBidi"/>
          <w:b/>
          <w:kern w:val="0"/>
          <w:sz w:val="22"/>
          <w:szCs w:val="22"/>
          <w:lang w:eastAsia="en-US"/>
        </w:rPr>
      </w:pPr>
    </w:p>
    <w:p w14:paraId="40FE95E6" w14:textId="77777777"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14:paraId="01C968E2" w14:textId="77777777"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14:paraId="26C94ECA" w14:textId="77777777"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7F5016">
        <w:rPr>
          <w:rFonts w:asciiTheme="minorHAnsi" w:eastAsiaTheme="minorHAnsi" w:hAnsiTheme="minorHAnsi" w:cstheme="minorBidi"/>
          <w:kern w:val="0"/>
          <w:sz w:val="22"/>
          <w:szCs w:val="22"/>
          <w:lang w:eastAsia="en-US"/>
        </w:rPr>
        <w:t>23</w:t>
      </w:r>
      <w:r>
        <w:rPr>
          <w:rFonts w:asciiTheme="minorHAnsi" w:eastAsiaTheme="minorHAnsi" w:hAnsiTheme="minorHAnsi" w:cstheme="minorBidi"/>
          <w:kern w:val="0"/>
          <w:sz w:val="22"/>
          <w:szCs w:val="22"/>
          <w:lang w:eastAsia="en-US"/>
        </w:rPr>
        <w:t xml:space="preserve"> </w:t>
      </w:r>
      <w:r w:rsidR="003041F0">
        <w:rPr>
          <w:rFonts w:asciiTheme="minorHAnsi" w:eastAsiaTheme="minorHAnsi" w:hAnsiTheme="minorHAnsi" w:cstheme="minorBidi"/>
          <w:kern w:val="0"/>
          <w:sz w:val="22"/>
          <w:szCs w:val="22"/>
          <w:lang w:eastAsia="en-US"/>
        </w:rPr>
        <w:t>settembre</w:t>
      </w:r>
      <w:r w:rsidR="00870F59">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20</w:t>
      </w:r>
      <w:r w:rsidR="005B7D3B">
        <w:rPr>
          <w:rFonts w:asciiTheme="minorHAnsi" w:eastAsiaTheme="minorHAnsi" w:hAnsiTheme="minorHAnsi" w:cstheme="minorBidi"/>
          <w:kern w:val="0"/>
          <w:sz w:val="22"/>
          <w:szCs w:val="22"/>
          <w:lang w:eastAsia="en-US"/>
        </w:rPr>
        <w:t>2</w:t>
      </w:r>
      <w:r w:rsidR="0056623D">
        <w:rPr>
          <w:rFonts w:asciiTheme="minorHAnsi" w:eastAsiaTheme="minorHAnsi" w:hAnsiTheme="minorHAnsi" w:cstheme="minorBidi"/>
          <w:kern w:val="0"/>
          <w:sz w:val="22"/>
          <w:szCs w:val="22"/>
          <w:lang w:eastAsia="en-US"/>
        </w:rPr>
        <w:t>1</w:t>
      </w:r>
      <w:r>
        <w:rPr>
          <w:rFonts w:asciiTheme="minorHAnsi" w:eastAsiaTheme="minorHAnsi" w:hAnsiTheme="minorHAnsi" w:cstheme="minorBidi"/>
          <w:kern w:val="0"/>
          <w:sz w:val="22"/>
          <w:szCs w:val="22"/>
          <w:lang w:eastAsia="en-US"/>
        </w:rPr>
        <w:t xml:space="preserve"> </w:t>
      </w:r>
    </w:p>
    <w:p w14:paraId="13E06711" w14:textId="77777777"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14:paraId="22DEACD4" w14:textId="77777777" w:rsidR="002544EF" w:rsidRDefault="008E4265" w:rsidP="008D00AB">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Rag. Guido Cali’ </w:t>
      </w:r>
      <w:r w:rsidR="00495F8E">
        <w:rPr>
          <w:rFonts w:asciiTheme="minorHAnsi" w:eastAsiaTheme="minorHAnsi" w:hAnsiTheme="minorHAnsi" w:cstheme="minorBidi"/>
          <w:kern w:val="0"/>
          <w:sz w:val="22"/>
          <w:szCs w:val="22"/>
          <w:lang w:eastAsia="en-US"/>
        </w:rPr>
        <w:t>–</w:t>
      </w:r>
      <w:r>
        <w:rPr>
          <w:rFonts w:asciiTheme="minorHAnsi" w:eastAsiaTheme="minorHAnsi" w:hAnsiTheme="minorHAnsi" w:cstheme="minorBidi"/>
          <w:kern w:val="0"/>
          <w:sz w:val="22"/>
          <w:szCs w:val="22"/>
          <w:lang w:eastAsia="en-US"/>
        </w:rPr>
        <w:t xml:space="preserve"> Presidente</w:t>
      </w:r>
      <w:r w:rsidR="00495F8E">
        <w:rPr>
          <w:rFonts w:asciiTheme="minorHAnsi" w:eastAsiaTheme="minorHAnsi" w:hAnsiTheme="minorHAnsi" w:cstheme="minorBidi"/>
          <w:kern w:val="0"/>
          <w:sz w:val="22"/>
          <w:szCs w:val="22"/>
          <w:lang w:eastAsia="en-US"/>
        </w:rPr>
        <w:t xml:space="preserve">    </w:t>
      </w:r>
    </w:p>
    <w:p w14:paraId="5398F697" w14:textId="77777777" w:rsidR="002544EF" w:rsidRDefault="002544EF" w:rsidP="008D00AB">
      <w:pPr>
        <w:pStyle w:val="Standard"/>
        <w:autoSpaceDE w:val="0"/>
        <w:jc w:val="both"/>
        <w:rPr>
          <w:rFonts w:asciiTheme="minorHAnsi" w:eastAsiaTheme="minorHAnsi" w:hAnsiTheme="minorHAnsi" w:cstheme="minorBidi"/>
          <w:kern w:val="0"/>
          <w:sz w:val="22"/>
          <w:szCs w:val="22"/>
          <w:lang w:eastAsia="en-US"/>
        </w:rPr>
      </w:pPr>
    </w:p>
    <w:p w14:paraId="2E38D3D3" w14:textId="77777777" w:rsidR="002544EF" w:rsidRDefault="008E4265" w:rsidP="008D00AB">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 Gian Luca Zicca </w:t>
      </w:r>
      <w:r w:rsidR="00495F8E">
        <w:rPr>
          <w:rFonts w:asciiTheme="minorHAnsi" w:eastAsiaTheme="minorHAnsi" w:hAnsiTheme="minorHAnsi" w:cstheme="minorBidi"/>
          <w:kern w:val="0"/>
          <w:sz w:val="22"/>
          <w:szCs w:val="22"/>
          <w:lang w:eastAsia="en-US"/>
        </w:rPr>
        <w:t>–</w:t>
      </w:r>
      <w:r>
        <w:rPr>
          <w:rFonts w:asciiTheme="minorHAnsi" w:eastAsiaTheme="minorHAnsi" w:hAnsiTheme="minorHAnsi" w:cstheme="minorBidi"/>
          <w:kern w:val="0"/>
          <w:sz w:val="22"/>
          <w:szCs w:val="22"/>
          <w:lang w:eastAsia="en-US"/>
        </w:rPr>
        <w:t xml:space="preserve"> Componente</w:t>
      </w:r>
      <w:r w:rsidR="00495F8E">
        <w:rPr>
          <w:rFonts w:asciiTheme="minorHAnsi" w:eastAsiaTheme="minorHAnsi" w:hAnsiTheme="minorHAnsi" w:cstheme="minorBidi"/>
          <w:kern w:val="0"/>
          <w:sz w:val="22"/>
          <w:szCs w:val="22"/>
          <w:lang w:eastAsia="en-US"/>
        </w:rPr>
        <w:t xml:space="preserve">     </w:t>
      </w:r>
    </w:p>
    <w:p w14:paraId="55231EBE" w14:textId="77777777" w:rsidR="002544EF" w:rsidRDefault="002544EF" w:rsidP="008D00AB">
      <w:pPr>
        <w:pStyle w:val="Standard"/>
        <w:autoSpaceDE w:val="0"/>
        <w:jc w:val="both"/>
        <w:rPr>
          <w:rFonts w:asciiTheme="minorHAnsi" w:eastAsiaTheme="minorHAnsi" w:hAnsiTheme="minorHAnsi" w:cstheme="minorBidi"/>
          <w:kern w:val="0"/>
          <w:sz w:val="22"/>
          <w:szCs w:val="22"/>
          <w:lang w:eastAsia="en-US"/>
        </w:rPr>
      </w:pPr>
    </w:p>
    <w:p w14:paraId="3F5F37BD" w14:textId="77777777" w:rsidR="00A139C3" w:rsidRDefault="008E4265" w:rsidP="008D00AB">
      <w:pPr>
        <w:pStyle w:val="Standard"/>
        <w:autoSpaceDE w:val="0"/>
        <w:jc w:val="both"/>
      </w:pPr>
      <w:r>
        <w:rPr>
          <w:rFonts w:asciiTheme="minorHAnsi" w:eastAsiaTheme="minorHAnsi" w:hAnsiTheme="minorHAnsi" w:cstheme="minorBidi"/>
          <w:kern w:val="0"/>
          <w:sz w:val="22"/>
          <w:szCs w:val="22"/>
          <w:lang w:eastAsia="en-US"/>
        </w:rPr>
        <w:t>Dr.ssa Monia Ibba - Componente</w:t>
      </w:r>
    </w:p>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E00C" w14:textId="77777777" w:rsidR="00BB1EA7" w:rsidRDefault="00BB1EA7" w:rsidP="00A139C3">
      <w:pPr>
        <w:spacing w:after="0" w:line="240" w:lineRule="auto"/>
      </w:pPr>
      <w:r>
        <w:separator/>
      </w:r>
    </w:p>
  </w:endnote>
  <w:endnote w:type="continuationSeparator" w:id="0">
    <w:p w14:paraId="0DAFA31D" w14:textId="77777777" w:rsidR="00BB1EA7" w:rsidRDefault="00BB1EA7" w:rsidP="00A1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OldSty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27A0" w14:textId="77777777" w:rsidR="0040304F" w:rsidRDefault="0040304F" w:rsidP="00A139C3">
    <w:pPr>
      <w:pStyle w:val="Pidipagina"/>
      <w:jc w:val="center"/>
    </w:pPr>
    <w:r>
      <w:rPr>
        <w:rFonts w:ascii="Garamond" w:hAnsi="Garamond" w:cs="Garamond"/>
        <w:i/>
        <w:iCs/>
        <w:color w:val="808080"/>
        <w:sz w:val="20"/>
      </w:rPr>
      <w:t xml:space="preserve">Comune di Selargius  - Parere riconoscimento debiti fuori bilancio 2021 </w:t>
    </w:r>
  </w:p>
  <w:p w14:paraId="73A304F5" w14:textId="77777777" w:rsidR="0040304F" w:rsidRDefault="004030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A179" w14:textId="77777777" w:rsidR="00BB1EA7" w:rsidRDefault="00BB1EA7" w:rsidP="00A139C3">
      <w:pPr>
        <w:spacing w:after="0" w:line="240" w:lineRule="auto"/>
      </w:pPr>
      <w:r>
        <w:separator/>
      </w:r>
    </w:p>
  </w:footnote>
  <w:footnote w:type="continuationSeparator" w:id="0">
    <w:p w14:paraId="50717500" w14:textId="77777777" w:rsidR="00BB1EA7" w:rsidRDefault="00BB1EA7" w:rsidP="00A13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5E6F" w14:textId="5B3A4349" w:rsidR="0040304F" w:rsidRPr="007B4902" w:rsidRDefault="00BB1EA7"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EndPr/>
      <w:sdtContent>
        <w:r w:rsidR="000E6555">
          <w:rPr>
            <w:rFonts w:ascii="Times New Roman" w:hAnsi="Times New Roman" w:cs="Times New Roman"/>
            <w:noProof/>
            <w:sz w:val="24"/>
            <w:lang w:eastAsia="zh-TW"/>
          </w:rPr>
          <mc:AlternateContent>
            <mc:Choice Requires="wps">
              <w:drawing>
                <wp:anchor distT="0" distB="0" distL="114300" distR="114300" simplePos="0" relativeHeight="251660288" behindDoc="0" locked="0" layoutInCell="0" allowOverlap="1" wp14:anchorId="3100FE63" wp14:editId="6831D80C">
                  <wp:simplePos x="0" y="0"/>
                  <wp:positionH relativeFrom="rightMargin">
                    <wp:align>center</wp:align>
                  </wp:positionH>
                  <wp:positionV relativeFrom="margin">
                    <wp:align>top</wp:align>
                  </wp:positionV>
                  <wp:extent cx="581025" cy="40957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14:paraId="10842D3F" w14:textId="77777777" w:rsidR="0040304F" w:rsidRDefault="00B340E6">
                              <w:pPr>
                                <w:pStyle w:val="Pidipagina"/>
                                <w:jc w:val="center"/>
                                <w:rPr>
                                  <w:color w:val="FFFFFF" w:themeColor="background1"/>
                                </w:rPr>
                              </w:pPr>
                              <w:r>
                                <w:fldChar w:fldCharType="begin"/>
                              </w:r>
                              <w:r w:rsidR="0040304F">
                                <w:instrText xml:space="preserve"> PAGE   \* MERGEFORMAT </w:instrText>
                              </w:r>
                              <w:r>
                                <w:fldChar w:fldCharType="separate"/>
                              </w:r>
                              <w:r w:rsidR="00561D97" w:rsidRPr="00561D97">
                                <w:rPr>
                                  <w:noProof/>
                                  <w:color w:val="FFFFFF" w:themeColor="background1"/>
                                </w:rPr>
                                <w:t>5</w:t>
                              </w:r>
                              <w:r>
                                <w:rPr>
                                  <w:noProof/>
                                  <w:color w:val="FFFFFF" w:themeColor="background1"/>
                                </w:rPr>
                                <w:fldChar w:fldCharType="end"/>
                              </w:r>
                            </w:p>
                            <w:p w14:paraId="39C880BC" w14:textId="77777777" w:rsidR="0040304F" w:rsidRDefault="0040304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100FE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left:0;text-align:left;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" o:allowincell="f" adj="13609,5370" fillcolor="#c0504d [3205]" stroked="f" strokecolor="#4f81bd [3204]">
                  <v:textbox inset=",0,,0">
                    <w:txbxContent>
                      <w:p w14:paraId="10842D3F" w14:textId="77777777" w:rsidR="0040304F" w:rsidRDefault="00B340E6">
                        <w:pPr>
                          <w:pStyle w:val="Pidipagina"/>
                          <w:jc w:val="center"/>
                          <w:rPr>
                            <w:color w:val="FFFFFF" w:themeColor="background1"/>
                          </w:rPr>
                        </w:pPr>
                        <w:r>
                          <w:fldChar w:fldCharType="begin"/>
                        </w:r>
                        <w:r w:rsidR="0040304F">
                          <w:instrText xml:space="preserve"> PAGE   \* MERGEFORMAT </w:instrText>
                        </w:r>
                        <w:r>
                          <w:fldChar w:fldCharType="separate"/>
                        </w:r>
                        <w:r w:rsidR="00561D97" w:rsidRPr="00561D97">
                          <w:rPr>
                            <w:noProof/>
                            <w:color w:val="FFFFFF" w:themeColor="background1"/>
                          </w:rPr>
                          <w:t>5</w:t>
                        </w:r>
                        <w:r>
                          <w:rPr>
                            <w:noProof/>
                            <w:color w:val="FFFFFF" w:themeColor="background1"/>
                          </w:rPr>
                          <w:fldChar w:fldCharType="end"/>
                        </w:r>
                      </w:p>
                      <w:p w14:paraId="39C880BC" w14:textId="77777777" w:rsidR="0040304F" w:rsidRDefault="0040304F"/>
                    </w:txbxContent>
                  </v:textbox>
                  <w10:wrap anchorx="margin" anchory="margin"/>
                </v:shape>
              </w:pict>
            </mc:Fallback>
          </mc:AlternateContent>
        </w:r>
      </w:sdtContent>
    </w:sdt>
    <w:r w:rsidR="0040304F">
      <w:rPr>
        <w:rFonts w:ascii="Times New Roman" w:hAnsi="Times New Roman" w:cs="Times New Roman"/>
        <w:b w:val="0"/>
        <w:noProof/>
        <w:sz w:val="24"/>
        <w:lang w:eastAsia="it-IT"/>
      </w:rPr>
      <w:drawing>
        <wp:inline distT="0" distB="0" distL="0" distR="0" wp14:anchorId="0E2BF8CE" wp14:editId="47F4AC56">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14:paraId="5D0A9BA5" w14:textId="77777777" w:rsidR="0040304F" w:rsidRPr="007B4902" w:rsidRDefault="0040304F"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14:paraId="7B01E22D" w14:textId="77777777" w:rsidR="0040304F" w:rsidRPr="007B4902" w:rsidRDefault="0040304F" w:rsidP="00A139C3">
    <w:pPr>
      <w:jc w:val="center"/>
    </w:pPr>
  </w:p>
  <w:p w14:paraId="124EE55E" w14:textId="77777777" w:rsidR="0040304F" w:rsidRDefault="0040304F" w:rsidP="00A139C3">
    <w:pPr>
      <w:jc w:val="center"/>
    </w:pPr>
    <w:r w:rsidRPr="007B4902">
      <w:t>Città metropolitana di Cagliari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E226D"/>
    <w:multiLevelType w:val="hybridMultilevel"/>
    <w:tmpl w:val="E1A64C18"/>
    <w:lvl w:ilvl="0" w:tplc="3528B700">
      <w:numFmt w:val="bullet"/>
      <w:lvlText w:val="-"/>
      <w:lvlJc w:val="left"/>
      <w:pPr>
        <w:ind w:left="720" w:hanging="360"/>
      </w:pPr>
      <w:rPr>
        <w:rFonts w:ascii="Tahoma" w:eastAsia="Times New Roman" w:hAnsi="Tahoma" w:cs="Tahoma" w:hint="default"/>
      </w:rPr>
    </w:lvl>
    <w:lvl w:ilvl="1" w:tplc="3528B700">
      <w:numFmt w:val="bullet"/>
      <w:lvlText w:val="-"/>
      <w:lvlJc w:val="left"/>
      <w:pPr>
        <w:ind w:left="1440" w:hanging="360"/>
      </w:pPr>
      <w:rPr>
        <w:rFonts w:ascii="Tahoma" w:eastAsia="Times New Roman" w:hAnsi="Tahoma" w:cs="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1454EB"/>
    <w:multiLevelType w:val="hybridMultilevel"/>
    <w:tmpl w:val="2508EC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C416BE"/>
    <w:multiLevelType w:val="hybridMultilevel"/>
    <w:tmpl w:val="66C89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920C40"/>
    <w:multiLevelType w:val="hybridMultilevel"/>
    <w:tmpl w:val="A17E11FC"/>
    <w:lvl w:ilvl="0" w:tplc="04100001">
      <w:start w:val="1"/>
      <w:numFmt w:val="bullet"/>
      <w:lvlText w:val=""/>
      <w:lvlJc w:val="left"/>
      <w:pPr>
        <w:ind w:left="720" w:hanging="360"/>
      </w:pPr>
      <w:rPr>
        <w:rFonts w:ascii="Symbol" w:hAnsi="Symbol" w:hint="default"/>
      </w:rPr>
    </w:lvl>
    <w:lvl w:ilvl="1" w:tplc="3528B700">
      <w:numFmt w:val="bullet"/>
      <w:lvlText w:val="-"/>
      <w:lvlJc w:val="left"/>
      <w:pPr>
        <w:ind w:left="1440" w:hanging="360"/>
      </w:pPr>
      <w:rPr>
        <w:rFonts w:ascii="Tahoma" w:eastAsia="Times New Roman" w:hAnsi="Tahoma" w:cs="Tahom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7D63A5"/>
    <w:multiLevelType w:val="hybridMultilevel"/>
    <w:tmpl w:val="3468D42A"/>
    <w:lvl w:ilvl="0" w:tplc="640A3A0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BF1F9E"/>
    <w:multiLevelType w:val="hybridMultilevel"/>
    <w:tmpl w:val="514A11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A46F10"/>
    <w:multiLevelType w:val="hybridMultilevel"/>
    <w:tmpl w:val="F03A7E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5F53682"/>
    <w:multiLevelType w:val="hybridMultilevel"/>
    <w:tmpl w:val="38DE27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DB74E9"/>
    <w:multiLevelType w:val="hybridMultilevel"/>
    <w:tmpl w:val="BA9A1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BE75B30"/>
    <w:multiLevelType w:val="hybridMultilevel"/>
    <w:tmpl w:val="29E221A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9B46C8"/>
    <w:multiLevelType w:val="hybridMultilevel"/>
    <w:tmpl w:val="52388F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3E450C0E"/>
    <w:multiLevelType w:val="multilevel"/>
    <w:tmpl w:val="5EB6C6E6"/>
    <w:lvl w:ilvl="0">
      <w:numFmt w:val="bullet"/>
      <w:lvlText w:val=""/>
      <w:lvlJc w:val="left"/>
      <w:pPr>
        <w:ind w:left="794" w:hanging="360"/>
      </w:pPr>
      <w:rPr>
        <w:rFonts w:ascii="Symbol" w:hAnsi="Symbol"/>
      </w:rPr>
    </w:lvl>
    <w:lvl w:ilvl="1">
      <w:numFmt w:val="bullet"/>
      <w:lvlText w:val="o"/>
      <w:lvlJc w:val="left"/>
      <w:pPr>
        <w:ind w:left="1514" w:hanging="360"/>
      </w:pPr>
      <w:rPr>
        <w:rFonts w:ascii="Courier New" w:hAnsi="Courier New" w:cs="Courier New"/>
      </w:rPr>
    </w:lvl>
    <w:lvl w:ilvl="2">
      <w:numFmt w:val="bullet"/>
      <w:lvlText w:val=""/>
      <w:lvlJc w:val="left"/>
      <w:pPr>
        <w:ind w:left="2234" w:hanging="360"/>
      </w:pPr>
      <w:rPr>
        <w:rFonts w:ascii="Wingdings" w:hAnsi="Wingdings"/>
      </w:rPr>
    </w:lvl>
    <w:lvl w:ilvl="3">
      <w:numFmt w:val="bullet"/>
      <w:lvlText w:val=""/>
      <w:lvlJc w:val="left"/>
      <w:pPr>
        <w:ind w:left="2954" w:hanging="360"/>
      </w:pPr>
      <w:rPr>
        <w:rFonts w:ascii="Symbol" w:hAnsi="Symbol"/>
      </w:rPr>
    </w:lvl>
    <w:lvl w:ilvl="4">
      <w:numFmt w:val="bullet"/>
      <w:lvlText w:val="o"/>
      <w:lvlJc w:val="left"/>
      <w:pPr>
        <w:ind w:left="3674" w:hanging="360"/>
      </w:pPr>
      <w:rPr>
        <w:rFonts w:ascii="Courier New" w:hAnsi="Courier New" w:cs="Courier New"/>
      </w:rPr>
    </w:lvl>
    <w:lvl w:ilvl="5">
      <w:numFmt w:val="bullet"/>
      <w:lvlText w:val=""/>
      <w:lvlJc w:val="left"/>
      <w:pPr>
        <w:ind w:left="4394" w:hanging="360"/>
      </w:pPr>
      <w:rPr>
        <w:rFonts w:ascii="Wingdings" w:hAnsi="Wingdings"/>
      </w:rPr>
    </w:lvl>
    <w:lvl w:ilvl="6">
      <w:numFmt w:val="bullet"/>
      <w:lvlText w:val=""/>
      <w:lvlJc w:val="left"/>
      <w:pPr>
        <w:ind w:left="5114" w:hanging="360"/>
      </w:pPr>
      <w:rPr>
        <w:rFonts w:ascii="Symbol" w:hAnsi="Symbol"/>
      </w:rPr>
    </w:lvl>
    <w:lvl w:ilvl="7">
      <w:numFmt w:val="bullet"/>
      <w:lvlText w:val="o"/>
      <w:lvlJc w:val="left"/>
      <w:pPr>
        <w:ind w:left="5834" w:hanging="360"/>
      </w:pPr>
      <w:rPr>
        <w:rFonts w:ascii="Courier New" w:hAnsi="Courier New" w:cs="Courier New"/>
      </w:rPr>
    </w:lvl>
    <w:lvl w:ilvl="8">
      <w:numFmt w:val="bullet"/>
      <w:lvlText w:val=""/>
      <w:lvlJc w:val="left"/>
      <w:pPr>
        <w:ind w:left="6554" w:hanging="360"/>
      </w:pPr>
      <w:rPr>
        <w:rFonts w:ascii="Wingdings" w:hAnsi="Wingdings"/>
      </w:rPr>
    </w:lvl>
  </w:abstractNum>
  <w:abstractNum w:abstractNumId="28" w15:restartNumberingAfterBreak="0">
    <w:nsid w:val="463821C0"/>
    <w:multiLevelType w:val="hybridMultilevel"/>
    <w:tmpl w:val="085AE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BF072F"/>
    <w:multiLevelType w:val="hybridMultilevel"/>
    <w:tmpl w:val="6AB0806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1" w15:restartNumberingAfterBreak="0">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BB7443"/>
    <w:multiLevelType w:val="hybridMultilevel"/>
    <w:tmpl w:val="1124D1D8"/>
    <w:lvl w:ilvl="0" w:tplc="04100001">
      <w:start w:val="1"/>
      <w:numFmt w:val="bullet"/>
      <w:lvlText w:val=""/>
      <w:lvlJc w:val="left"/>
      <w:pPr>
        <w:ind w:left="794" w:hanging="360"/>
      </w:pPr>
      <w:rPr>
        <w:rFonts w:ascii="Symbol" w:hAnsi="Symbol" w:hint="default"/>
      </w:rPr>
    </w:lvl>
    <w:lvl w:ilvl="1" w:tplc="04100003">
      <w:start w:val="1"/>
      <w:numFmt w:val="bullet"/>
      <w:lvlText w:val="o"/>
      <w:lvlJc w:val="left"/>
      <w:pPr>
        <w:ind w:left="1514" w:hanging="360"/>
      </w:pPr>
      <w:rPr>
        <w:rFonts w:ascii="Courier New" w:hAnsi="Courier New" w:cs="Courier New" w:hint="default"/>
      </w:rPr>
    </w:lvl>
    <w:lvl w:ilvl="2" w:tplc="04100005">
      <w:start w:val="1"/>
      <w:numFmt w:val="bullet"/>
      <w:lvlText w:val=""/>
      <w:lvlJc w:val="left"/>
      <w:pPr>
        <w:ind w:left="2234" w:hanging="360"/>
      </w:pPr>
      <w:rPr>
        <w:rFonts w:ascii="Wingdings" w:hAnsi="Wingdings" w:hint="default"/>
      </w:rPr>
    </w:lvl>
    <w:lvl w:ilvl="3" w:tplc="04100001">
      <w:start w:val="1"/>
      <w:numFmt w:val="bullet"/>
      <w:lvlText w:val=""/>
      <w:lvlJc w:val="left"/>
      <w:pPr>
        <w:ind w:left="2954" w:hanging="360"/>
      </w:pPr>
      <w:rPr>
        <w:rFonts w:ascii="Symbol" w:hAnsi="Symbol" w:hint="default"/>
      </w:rPr>
    </w:lvl>
    <w:lvl w:ilvl="4" w:tplc="04100003">
      <w:start w:val="1"/>
      <w:numFmt w:val="bullet"/>
      <w:lvlText w:val="o"/>
      <w:lvlJc w:val="left"/>
      <w:pPr>
        <w:ind w:left="3674" w:hanging="360"/>
      </w:pPr>
      <w:rPr>
        <w:rFonts w:ascii="Courier New" w:hAnsi="Courier New" w:cs="Courier New" w:hint="default"/>
      </w:rPr>
    </w:lvl>
    <w:lvl w:ilvl="5" w:tplc="04100005">
      <w:start w:val="1"/>
      <w:numFmt w:val="bullet"/>
      <w:lvlText w:val=""/>
      <w:lvlJc w:val="left"/>
      <w:pPr>
        <w:ind w:left="4394" w:hanging="360"/>
      </w:pPr>
      <w:rPr>
        <w:rFonts w:ascii="Wingdings" w:hAnsi="Wingdings" w:hint="default"/>
      </w:rPr>
    </w:lvl>
    <w:lvl w:ilvl="6" w:tplc="04100001">
      <w:start w:val="1"/>
      <w:numFmt w:val="bullet"/>
      <w:lvlText w:val=""/>
      <w:lvlJc w:val="left"/>
      <w:pPr>
        <w:ind w:left="5114" w:hanging="360"/>
      </w:pPr>
      <w:rPr>
        <w:rFonts w:ascii="Symbol" w:hAnsi="Symbol" w:hint="default"/>
      </w:rPr>
    </w:lvl>
    <w:lvl w:ilvl="7" w:tplc="04100003">
      <w:start w:val="1"/>
      <w:numFmt w:val="bullet"/>
      <w:lvlText w:val="o"/>
      <w:lvlJc w:val="left"/>
      <w:pPr>
        <w:ind w:left="5834" w:hanging="360"/>
      </w:pPr>
      <w:rPr>
        <w:rFonts w:ascii="Courier New" w:hAnsi="Courier New" w:cs="Courier New" w:hint="default"/>
      </w:rPr>
    </w:lvl>
    <w:lvl w:ilvl="8" w:tplc="04100005">
      <w:start w:val="1"/>
      <w:numFmt w:val="bullet"/>
      <w:lvlText w:val=""/>
      <w:lvlJc w:val="left"/>
      <w:pPr>
        <w:ind w:left="6554" w:hanging="360"/>
      </w:pPr>
      <w:rPr>
        <w:rFonts w:ascii="Wingdings" w:hAnsi="Wingdings" w:hint="default"/>
      </w:rPr>
    </w:lvl>
  </w:abstractNum>
  <w:abstractNum w:abstractNumId="35" w15:restartNumberingAfterBreak="0">
    <w:nsid w:val="65343E4E"/>
    <w:multiLevelType w:val="hybridMultilevel"/>
    <w:tmpl w:val="FBBC0E9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15:restartNumberingAfterBreak="0">
    <w:nsid w:val="6FB72029"/>
    <w:multiLevelType w:val="hybridMultilevel"/>
    <w:tmpl w:val="05F62182"/>
    <w:lvl w:ilvl="0" w:tplc="640A3A04">
      <w:numFmt w:val="bullet"/>
      <w:lvlText w:val="-"/>
      <w:lvlJc w:val="left"/>
      <w:pPr>
        <w:ind w:left="720"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19C2F26"/>
    <w:multiLevelType w:val="hybridMultilevel"/>
    <w:tmpl w:val="E9FC2BE6"/>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39" w15:restartNumberingAfterBreak="0">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B84BB1"/>
    <w:multiLevelType w:val="hybridMultilevel"/>
    <w:tmpl w:val="EE6A0C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DA743ED"/>
    <w:multiLevelType w:val="hybridMultilevel"/>
    <w:tmpl w:val="9DEC0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136707"/>
    <w:multiLevelType w:val="singleLevel"/>
    <w:tmpl w:val="04100001"/>
    <w:lvl w:ilvl="0">
      <w:start w:val="1"/>
      <w:numFmt w:val="bullet"/>
      <w:lvlText w:val=""/>
      <w:lvlJc w:val="left"/>
      <w:pPr>
        <w:ind w:left="720" w:hanging="360"/>
      </w:pPr>
      <w:rPr>
        <w:rFonts w:ascii="Symbol" w:hAnsi="Symbol" w:hint="default"/>
      </w:rPr>
    </w:lvl>
  </w:abstractNum>
  <w:num w:numId="1">
    <w:abstractNumId w:val="3"/>
  </w:num>
  <w:num w:numId="2">
    <w:abstractNumId w:val="12"/>
  </w:num>
  <w:num w:numId="3">
    <w:abstractNumId w:val="8"/>
  </w:num>
  <w:num w:numId="4">
    <w:abstractNumId w:val="29"/>
  </w:num>
  <w:num w:numId="5">
    <w:abstractNumId w:val="10"/>
  </w:num>
  <w:num w:numId="6">
    <w:abstractNumId w:val="0"/>
  </w:num>
  <w:num w:numId="7">
    <w:abstractNumId w:val="2"/>
  </w:num>
  <w:num w:numId="8">
    <w:abstractNumId w:val="13"/>
  </w:num>
  <w:num w:numId="9">
    <w:abstractNumId w:val="11"/>
  </w:num>
  <w:num w:numId="10">
    <w:abstractNumId w:val="17"/>
  </w:num>
  <w:num w:numId="11">
    <w:abstractNumId w:val="16"/>
  </w:num>
  <w:num w:numId="12">
    <w:abstractNumId w:val="32"/>
  </w:num>
  <w:num w:numId="13">
    <w:abstractNumId w:val="15"/>
  </w:num>
  <w:num w:numId="14">
    <w:abstractNumId w:val="23"/>
  </w:num>
  <w:num w:numId="15">
    <w:abstractNumId w:val="4"/>
  </w:num>
  <w:num w:numId="16">
    <w:abstractNumId w:val="33"/>
  </w:num>
  <w:num w:numId="17">
    <w:abstractNumId w:val="31"/>
  </w:num>
  <w:num w:numId="18">
    <w:abstractNumId w:val="6"/>
  </w:num>
  <w:num w:numId="19">
    <w:abstractNumId w:val="7"/>
  </w:num>
  <w:num w:numId="20">
    <w:abstractNumId w:val="39"/>
  </w:num>
  <w:num w:numId="21">
    <w:abstractNumId w:val="41"/>
  </w:num>
  <w:num w:numId="22">
    <w:abstractNumId w:val="36"/>
  </w:num>
  <w:num w:numId="23">
    <w:abstractNumId w:val="21"/>
  </w:num>
  <w:num w:numId="24">
    <w:abstractNumId w:val="28"/>
  </w:num>
  <w:num w:numId="25">
    <w:abstractNumId w:val="27"/>
  </w:num>
  <w:num w:numId="26">
    <w:abstractNumId w:val="34"/>
  </w:num>
  <w:num w:numId="27">
    <w:abstractNumId w:val="30"/>
  </w:num>
  <w:num w:numId="28">
    <w:abstractNumId w:val="18"/>
  </w:num>
  <w:num w:numId="29">
    <w:abstractNumId w:val="9"/>
  </w:num>
  <w:num w:numId="30">
    <w:abstractNumId w:val="42"/>
  </w:num>
  <w:num w:numId="31">
    <w:abstractNumId w:val="24"/>
  </w:num>
  <w:num w:numId="32">
    <w:abstractNumId w:val="14"/>
  </w:num>
  <w:num w:numId="33">
    <w:abstractNumId w:val="38"/>
  </w:num>
  <w:num w:numId="34">
    <w:abstractNumId w:val="25"/>
  </w:num>
  <w:num w:numId="35">
    <w:abstractNumId w:val="35"/>
  </w:num>
  <w:num w:numId="36">
    <w:abstractNumId w:val="38"/>
  </w:num>
  <w:num w:numId="37">
    <w:abstractNumId w:val="19"/>
  </w:num>
  <w:num w:numId="38">
    <w:abstractNumId w:val="5"/>
  </w:num>
  <w:num w:numId="39">
    <w:abstractNumId w:val="40"/>
  </w:num>
  <w:num w:numId="40">
    <w:abstractNumId w:val="26"/>
  </w:num>
  <w:num w:numId="41">
    <w:abstractNumId w:val="1"/>
  </w:num>
  <w:num w:numId="42">
    <w:abstractNumId w:val="20"/>
  </w:num>
  <w:num w:numId="43">
    <w:abstractNumId w:val="2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C3"/>
    <w:rsid w:val="00012B08"/>
    <w:rsid w:val="00012E91"/>
    <w:rsid w:val="00014E51"/>
    <w:rsid w:val="00017F82"/>
    <w:rsid w:val="00023425"/>
    <w:rsid w:val="000272D9"/>
    <w:rsid w:val="00027C16"/>
    <w:rsid w:val="00066C14"/>
    <w:rsid w:val="0007254B"/>
    <w:rsid w:val="00075E06"/>
    <w:rsid w:val="000762C8"/>
    <w:rsid w:val="0008013B"/>
    <w:rsid w:val="00080E4C"/>
    <w:rsid w:val="000A1D4C"/>
    <w:rsid w:val="000A37C1"/>
    <w:rsid w:val="000A7901"/>
    <w:rsid w:val="000B3DEE"/>
    <w:rsid w:val="000C1D7B"/>
    <w:rsid w:val="000D1CAC"/>
    <w:rsid w:val="000E1311"/>
    <w:rsid w:val="000E6555"/>
    <w:rsid w:val="000F0E2C"/>
    <w:rsid w:val="000F1FE9"/>
    <w:rsid w:val="000F635A"/>
    <w:rsid w:val="00101564"/>
    <w:rsid w:val="00143E12"/>
    <w:rsid w:val="0014490D"/>
    <w:rsid w:val="0015417E"/>
    <w:rsid w:val="00160856"/>
    <w:rsid w:val="001647FD"/>
    <w:rsid w:val="00167538"/>
    <w:rsid w:val="00177140"/>
    <w:rsid w:val="00187DE7"/>
    <w:rsid w:val="00197ADF"/>
    <w:rsid w:val="001B2691"/>
    <w:rsid w:val="001B6EFC"/>
    <w:rsid w:val="001C1784"/>
    <w:rsid w:val="001C1C1C"/>
    <w:rsid w:val="001E041A"/>
    <w:rsid w:val="001E25ED"/>
    <w:rsid w:val="001E71E8"/>
    <w:rsid w:val="002111D0"/>
    <w:rsid w:val="00211AD5"/>
    <w:rsid w:val="0022775F"/>
    <w:rsid w:val="002455E1"/>
    <w:rsid w:val="002544EF"/>
    <w:rsid w:val="00261931"/>
    <w:rsid w:val="00270AA8"/>
    <w:rsid w:val="002778C7"/>
    <w:rsid w:val="00280E3D"/>
    <w:rsid w:val="00286A26"/>
    <w:rsid w:val="0029298B"/>
    <w:rsid w:val="002A2F10"/>
    <w:rsid w:val="002A41C9"/>
    <w:rsid w:val="002D3FD9"/>
    <w:rsid w:val="002D4514"/>
    <w:rsid w:val="002F5BC3"/>
    <w:rsid w:val="003041F0"/>
    <w:rsid w:val="00313CD1"/>
    <w:rsid w:val="00324313"/>
    <w:rsid w:val="00324B4A"/>
    <w:rsid w:val="0032522C"/>
    <w:rsid w:val="00334B85"/>
    <w:rsid w:val="00335F21"/>
    <w:rsid w:val="00336E59"/>
    <w:rsid w:val="0034330C"/>
    <w:rsid w:val="00346BBE"/>
    <w:rsid w:val="00372F98"/>
    <w:rsid w:val="003863D6"/>
    <w:rsid w:val="00397D11"/>
    <w:rsid w:val="003A666B"/>
    <w:rsid w:val="003B7CD1"/>
    <w:rsid w:val="003C5AA0"/>
    <w:rsid w:val="003F1022"/>
    <w:rsid w:val="003F728A"/>
    <w:rsid w:val="0040304F"/>
    <w:rsid w:val="004079A6"/>
    <w:rsid w:val="00417150"/>
    <w:rsid w:val="0042120E"/>
    <w:rsid w:val="0044700C"/>
    <w:rsid w:val="0045744D"/>
    <w:rsid w:val="0046202F"/>
    <w:rsid w:val="0046338D"/>
    <w:rsid w:val="00476D0A"/>
    <w:rsid w:val="00483799"/>
    <w:rsid w:val="00487F95"/>
    <w:rsid w:val="00495F8E"/>
    <w:rsid w:val="004A2529"/>
    <w:rsid w:val="004B264D"/>
    <w:rsid w:val="004C0388"/>
    <w:rsid w:val="004C1DDB"/>
    <w:rsid w:val="004C6E8D"/>
    <w:rsid w:val="004D404B"/>
    <w:rsid w:val="004E10B6"/>
    <w:rsid w:val="004E2288"/>
    <w:rsid w:val="004F1C50"/>
    <w:rsid w:val="005066A9"/>
    <w:rsid w:val="00506D6B"/>
    <w:rsid w:val="00524420"/>
    <w:rsid w:val="00546655"/>
    <w:rsid w:val="0055291F"/>
    <w:rsid w:val="00561D97"/>
    <w:rsid w:val="0056623D"/>
    <w:rsid w:val="005A1ACF"/>
    <w:rsid w:val="005B5010"/>
    <w:rsid w:val="005B556C"/>
    <w:rsid w:val="005B7D3B"/>
    <w:rsid w:val="005B7EAA"/>
    <w:rsid w:val="005D1FD3"/>
    <w:rsid w:val="005D693B"/>
    <w:rsid w:val="005E53CA"/>
    <w:rsid w:val="005F5BA2"/>
    <w:rsid w:val="00607ABF"/>
    <w:rsid w:val="00636526"/>
    <w:rsid w:val="006379D7"/>
    <w:rsid w:val="0065183F"/>
    <w:rsid w:val="006604AC"/>
    <w:rsid w:val="006903A3"/>
    <w:rsid w:val="00692C6F"/>
    <w:rsid w:val="006B5880"/>
    <w:rsid w:val="006C3541"/>
    <w:rsid w:val="006D0C50"/>
    <w:rsid w:val="006E3980"/>
    <w:rsid w:val="006F06B7"/>
    <w:rsid w:val="006F3BC1"/>
    <w:rsid w:val="00700ED1"/>
    <w:rsid w:val="0070491B"/>
    <w:rsid w:val="00731301"/>
    <w:rsid w:val="00732EE2"/>
    <w:rsid w:val="00742441"/>
    <w:rsid w:val="00760825"/>
    <w:rsid w:val="00763170"/>
    <w:rsid w:val="0077165B"/>
    <w:rsid w:val="00774C02"/>
    <w:rsid w:val="007752A1"/>
    <w:rsid w:val="00797216"/>
    <w:rsid w:val="007A19B3"/>
    <w:rsid w:val="007B17B1"/>
    <w:rsid w:val="007E4774"/>
    <w:rsid w:val="007F5016"/>
    <w:rsid w:val="00816BDF"/>
    <w:rsid w:val="00842FCC"/>
    <w:rsid w:val="0084406E"/>
    <w:rsid w:val="008462FE"/>
    <w:rsid w:val="0085018B"/>
    <w:rsid w:val="00857007"/>
    <w:rsid w:val="00863A65"/>
    <w:rsid w:val="00870F59"/>
    <w:rsid w:val="00883743"/>
    <w:rsid w:val="00890FB4"/>
    <w:rsid w:val="008A3ABF"/>
    <w:rsid w:val="008C67FD"/>
    <w:rsid w:val="008C6F53"/>
    <w:rsid w:val="008C6FD1"/>
    <w:rsid w:val="008D00AB"/>
    <w:rsid w:val="008D3008"/>
    <w:rsid w:val="008E4265"/>
    <w:rsid w:val="008F2F3C"/>
    <w:rsid w:val="00906386"/>
    <w:rsid w:val="00925480"/>
    <w:rsid w:val="00937517"/>
    <w:rsid w:val="00945651"/>
    <w:rsid w:val="00950EEE"/>
    <w:rsid w:val="009538DC"/>
    <w:rsid w:val="00963CDD"/>
    <w:rsid w:val="00970CC6"/>
    <w:rsid w:val="00974190"/>
    <w:rsid w:val="0097638D"/>
    <w:rsid w:val="009A4B23"/>
    <w:rsid w:val="009A6C20"/>
    <w:rsid w:val="009A7240"/>
    <w:rsid w:val="009C4FD2"/>
    <w:rsid w:val="009D0F5D"/>
    <w:rsid w:val="009D4CDA"/>
    <w:rsid w:val="009D4D81"/>
    <w:rsid w:val="009D5736"/>
    <w:rsid w:val="009D6D02"/>
    <w:rsid w:val="009E1F8A"/>
    <w:rsid w:val="009E66E6"/>
    <w:rsid w:val="009F333B"/>
    <w:rsid w:val="009F478B"/>
    <w:rsid w:val="00A01E64"/>
    <w:rsid w:val="00A03B2E"/>
    <w:rsid w:val="00A10225"/>
    <w:rsid w:val="00A139C3"/>
    <w:rsid w:val="00A273AB"/>
    <w:rsid w:val="00A30D14"/>
    <w:rsid w:val="00A318BC"/>
    <w:rsid w:val="00A42990"/>
    <w:rsid w:val="00A728B5"/>
    <w:rsid w:val="00A73388"/>
    <w:rsid w:val="00A80275"/>
    <w:rsid w:val="00A82E8A"/>
    <w:rsid w:val="00A915C0"/>
    <w:rsid w:val="00A9790C"/>
    <w:rsid w:val="00AA035D"/>
    <w:rsid w:val="00AA2DCF"/>
    <w:rsid w:val="00AC1F02"/>
    <w:rsid w:val="00AD16E4"/>
    <w:rsid w:val="00AD7540"/>
    <w:rsid w:val="00AF6212"/>
    <w:rsid w:val="00B10C5E"/>
    <w:rsid w:val="00B12B5E"/>
    <w:rsid w:val="00B26817"/>
    <w:rsid w:val="00B340E6"/>
    <w:rsid w:val="00B5022A"/>
    <w:rsid w:val="00B62C35"/>
    <w:rsid w:val="00B6726B"/>
    <w:rsid w:val="00B70495"/>
    <w:rsid w:val="00B704A9"/>
    <w:rsid w:val="00B87374"/>
    <w:rsid w:val="00B94727"/>
    <w:rsid w:val="00BA14BE"/>
    <w:rsid w:val="00BA2781"/>
    <w:rsid w:val="00BA3BD4"/>
    <w:rsid w:val="00BA6B60"/>
    <w:rsid w:val="00BB1EA7"/>
    <w:rsid w:val="00BC4234"/>
    <w:rsid w:val="00BC6F91"/>
    <w:rsid w:val="00BD50A4"/>
    <w:rsid w:val="00BF7062"/>
    <w:rsid w:val="00C06F12"/>
    <w:rsid w:val="00C14898"/>
    <w:rsid w:val="00C223B4"/>
    <w:rsid w:val="00C22483"/>
    <w:rsid w:val="00C31B8A"/>
    <w:rsid w:val="00C41B3C"/>
    <w:rsid w:val="00C43037"/>
    <w:rsid w:val="00C4355D"/>
    <w:rsid w:val="00C4598E"/>
    <w:rsid w:val="00C52D86"/>
    <w:rsid w:val="00C56530"/>
    <w:rsid w:val="00C639B3"/>
    <w:rsid w:val="00C7296B"/>
    <w:rsid w:val="00C73539"/>
    <w:rsid w:val="00C8220C"/>
    <w:rsid w:val="00CA3102"/>
    <w:rsid w:val="00CC3897"/>
    <w:rsid w:val="00CE5A98"/>
    <w:rsid w:val="00CF5593"/>
    <w:rsid w:val="00CF64A8"/>
    <w:rsid w:val="00D0105F"/>
    <w:rsid w:val="00D1121E"/>
    <w:rsid w:val="00D17223"/>
    <w:rsid w:val="00D455EE"/>
    <w:rsid w:val="00D5448C"/>
    <w:rsid w:val="00D61E22"/>
    <w:rsid w:val="00D71408"/>
    <w:rsid w:val="00D913D6"/>
    <w:rsid w:val="00D92430"/>
    <w:rsid w:val="00DA0F6B"/>
    <w:rsid w:val="00DA623F"/>
    <w:rsid w:val="00DC1E89"/>
    <w:rsid w:val="00DE457F"/>
    <w:rsid w:val="00E15E45"/>
    <w:rsid w:val="00E209BC"/>
    <w:rsid w:val="00E20D66"/>
    <w:rsid w:val="00E272E3"/>
    <w:rsid w:val="00E343EB"/>
    <w:rsid w:val="00E40114"/>
    <w:rsid w:val="00E509D5"/>
    <w:rsid w:val="00E57F59"/>
    <w:rsid w:val="00E74D3A"/>
    <w:rsid w:val="00EB4674"/>
    <w:rsid w:val="00EB56C0"/>
    <w:rsid w:val="00EC0E7C"/>
    <w:rsid w:val="00EF6C44"/>
    <w:rsid w:val="00F03852"/>
    <w:rsid w:val="00F11CDA"/>
    <w:rsid w:val="00F239E3"/>
    <w:rsid w:val="00F27C90"/>
    <w:rsid w:val="00F33331"/>
    <w:rsid w:val="00F5010D"/>
    <w:rsid w:val="00F600C6"/>
    <w:rsid w:val="00F628E4"/>
    <w:rsid w:val="00F670E1"/>
    <w:rsid w:val="00F72FA1"/>
    <w:rsid w:val="00FB4285"/>
    <w:rsid w:val="00FC5493"/>
    <w:rsid w:val="00FD6380"/>
    <w:rsid w:val="00FF30E6"/>
    <w:rsid w:val="00FF5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8EE4E"/>
  <w15:docId w15:val="{072D0CA9-BC1B-453E-9F9F-68DC2DBC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testo">
    <w:name w:val="Body Text"/>
    <w:basedOn w:val="Normale"/>
    <w:link w:val="CorpotestoCarattere"/>
    <w:uiPriority w:val="99"/>
    <w:semiHidden/>
    <w:unhideWhenUsed/>
    <w:rsid w:val="00A139C3"/>
    <w:pPr>
      <w:spacing w:after="120"/>
    </w:pPr>
  </w:style>
  <w:style w:type="character" w:customStyle="1" w:styleId="CorpotestoCarattere">
    <w:name w:val="Corpo testo Carattere"/>
    <w:basedOn w:val="Carpredefinitoparagrafo"/>
    <w:link w:val="Corpo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rPr>
  </w:style>
  <w:style w:type="paragraph" w:styleId="Nessunaspaziatura">
    <w:name w:val="No Spacing"/>
    <w:uiPriority w:val="1"/>
    <w:qFormat/>
    <w:rsid w:val="00E509D5"/>
    <w:pPr>
      <w:spacing w:after="0" w:line="240" w:lineRule="auto"/>
    </w:pPr>
  </w:style>
  <w:style w:type="paragraph" w:customStyle="1" w:styleId="xmsonormal">
    <w:name w:val="x_msonormal"/>
    <w:basedOn w:val="Normale"/>
    <w:rsid w:val="00C4598E"/>
    <w:pPr>
      <w:spacing w:after="0" w:line="240" w:lineRule="auto"/>
    </w:pPr>
    <w:rPr>
      <w:rFonts w:ascii="Calibri" w:eastAsia="Calibri" w:hAnsi="Calibri" w:cs="Calibri"/>
    </w:rPr>
  </w:style>
  <w:style w:type="character" w:customStyle="1" w:styleId="fontstyle01">
    <w:name w:val="fontstyle01"/>
    <w:rsid w:val="00C31B8A"/>
    <w:rPr>
      <w:rFonts w:ascii="BookmanOldStyle" w:hAnsi="BookmanOldStyle" w:hint="default"/>
      <w:b w:val="0"/>
      <w:bCs w:val="0"/>
      <w:i w:val="0"/>
      <w:iCs w:val="0"/>
      <w:color w:val="000000"/>
      <w:sz w:val="22"/>
      <w:szCs w:val="22"/>
    </w:rPr>
  </w:style>
  <w:style w:type="paragraph" w:customStyle="1" w:styleId="Default">
    <w:name w:val="Default"/>
    <w:rsid w:val="000F1FE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617">
      <w:bodyDiv w:val="1"/>
      <w:marLeft w:val="0"/>
      <w:marRight w:val="0"/>
      <w:marTop w:val="0"/>
      <w:marBottom w:val="0"/>
      <w:divBdr>
        <w:top w:val="none" w:sz="0" w:space="0" w:color="auto"/>
        <w:left w:val="none" w:sz="0" w:space="0" w:color="auto"/>
        <w:bottom w:val="none" w:sz="0" w:space="0" w:color="auto"/>
        <w:right w:val="none" w:sz="0" w:space="0" w:color="auto"/>
      </w:divBdr>
    </w:div>
    <w:div w:id="2377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FFC8-8BA2-43F9-AFE7-325343B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1453</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Grazia Ambu</cp:lastModifiedBy>
  <cp:revision>2</cp:revision>
  <dcterms:created xsi:type="dcterms:W3CDTF">2021-09-24T07:22:00Z</dcterms:created>
  <dcterms:modified xsi:type="dcterms:W3CDTF">2021-09-24T07:22:00Z</dcterms:modified>
</cp:coreProperties>
</file>